
<file path=[Content_Types].xml><?xml version="1.0" encoding="utf-8"?>
<Types xmlns="http://schemas.openxmlformats.org/package/2006/content-types">
  <Default ContentType="image/jpeg" Extension="jpeg"/>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footer+xml" PartName="/word/footer5.xml"/>
  <Override ContentType="application/vnd.openxmlformats-officedocument.wordprocessingml.footer+xml" PartName="/word/footer6.xml"/>
  <Override ContentType="application/vnd.openxmlformats-officedocument.wordprocessingml.footer+xml" PartName="/word/footer7.xml"/>
  <Override ContentType="application/vnd.openxmlformats-officedocument.wordprocessingml.footer+xml" PartName="/word/footer8.xml"/>
  <Override ContentType="application/vnd.openxmlformats-officedocument.wordprocessingml.footer+xml" PartName="/word/footer9.xml"/>
  <Override ContentType="application/vnd.openxmlformats-officedocument.wordprocessingml.footer+xml" PartName="/word/footer10.xml"/>
  <Override ContentType="application/vnd.openxmlformats-officedocument.wordprocessingml.footer+xml" PartName="/word/footer11.xml"/>
  <Override ContentType="application/vnd.openxmlformats-officedocument.wordprocessingml.footer+xml" PartName="/word/footer12.xml"/>
  <Override ContentType="application/vnd.openxmlformats-officedocument.wordprocessingml.footer+xml" PartName="/word/footer13.xml"/>
  <Override ContentType="application/vnd.openxmlformats-officedocument.wordprocessingml.footer+xml" PartName="/word/footer14.xml"/>
  <Override ContentType="application/vnd.openxmlformats-officedocument.wordprocessingml.footer+xml" PartName="/word/footer15.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header+xml" PartName="/word/head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1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08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4" w:hRule="atLeast"/>
        </w:trPr>
        <w:tc>
          <w:tcPr>
            <w:tcW w:w="10402" w:type="dxa"/>
            <w:tcBorders>
              <w:top w:val="nil"/>
              <w:left w:val="nil"/>
              <w:bottom w:val="nil"/>
              <w:right w:val="nil"/>
            </w:tcBorders>
          </w:tcPr>
          <w:p>
            <w:pPr>
              <w:pStyle w:val="8"/>
              <w:spacing w:line="550" w:lineRule="exact"/>
              <w:rPr>
                <w:rFonts w:hint="eastAsia" w:ascii="仿宋" w:hAnsi="仿宋" w:eastAsia="仿宋" w:cs="仿宋"/>
                <w:b/>
                <w:bCs/>
                <w:color w:val="FF0000"/>
                <w:sz w:val="22"/>
                <w:szCs w:val="22"/>
                <w:vertAlign w:val="baseline"/>
              </w:rPr>
            </w:pPr>
            <w:r>
              <w:rPr>
                <w:rFonts w:hint="eastAsia" w:ascii="仿宋" w:hAnsi="仿宋" w:eastAsia="仿宋" w:cs="仿宋"/>
                <w:b/>
                <w:bCs/>
                <w:color w:val="FF0000"/>
                <w:sz w:val="22"/>
                <w:szCs w:val="22"/>
              </w:rPr>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45" w:hRule="atLeast"/>
        </w:trPr>
        <w:tc>
          <w:tcPr>
            <w:tcW w:w="10402" w:type="dxa"/>
            <w:tcBorders>
              <w:top w:val="nil"/>
              <w:left w:val="nil"/>
              <w:bottom w:val="nil"/>
              <w:right w:val="nil"/>
            </w:tcBorders>
            <w:vAlign w:val="center"/>
          </w:tcPr>
          <w:p>
            <w:pPr>
              <w:ind w:right="284" w:rightChars="129"/>
              <w:jc w:val="center"/>
              <w:rPr>
                <w:rFonts w:hint="eastAsia" w:ascii="仿宋" w:hAnsi="仿宋" w:eastAsia="仿宋" w:cs="仿宋"/>
                <w:b/>
                <w:bCs/>
                <w:color w:val="FF0000"/>
                <w:sz w:val="22"/>
                <w:szCs w:val="22"/>
                <w:vertAlign w:val="baseline"/>
              </w:rPr>
            </w:pPr>
            <w:r>
              <w:rPr>
                <w:rFonts w:hint="eastAsia" w:ascii="宋体" w:hAnsi="宋体" w:eastAsia="宋体" w:cs="宋体"/>
                <w:b/>
                <w:bCs/>
                <w:sz w:val="52"/>
                <w:szCs w:val="52"/>
                <w:lang w:val="en-US" w:eastAsia="zh-CN"/>
              </w:rPr>
              <w:t/>
            </w:r>
            <w:r>
              <w:rPr>
                <w:rFonts w:ascii="宋体" w:hAnsi="宋体" w:cs="宋体" w:eastAsia="宋体"/>
                <w:b w:val="true"/>
                <w:sz w:val="52"/>
              </w:rPr>
              <w:t/>
            </w:r>
            <w:r>
              <w:rPr>
                <w:rFonts w:ascii="宋体" w:hAnsi="宋体" w:cs="宋体" w:eastAsia="宋体"/>
                <w:b w:val="true"/>
                <w:sz w:val="52"/>
              </w:rPr>
              <w:t/>
            </w:r>
            <w:r>
              <w:rPr>
                <w:rFonts w:ascii="宋体" w:hAnsi="宋体" w:cs="宋体" w:eastAsia="宋体"/>
                <w:b w:val="true"/>
                <w:sz w:val="52"/>
              </w:rPr>
              <w:t/>
            </w:r>
            <w:r>
              <w:rPr>
                <w:rFonts w:ascii="宋体" w:hAnsi="宋体" w:cs="宋体" w:eastAsia="宋体"/>
                <w:b w:val="true"/>
                <w:sz w:val="52"/>
              </w:rPr>
              <w:t xml:space="preserve">2025年度</w:t>
              <w:br w:type="textWrapping"/>
              <w:t/>
            </w:r>
            <w:r>
              <w:rPr>
                <w:rFonts w:ascii="宋体" w:hAnsi="宋体" w:cs="宋体" w:eastAsia="宋体"/>
                <w:b w:val="true"/>
                <w:sz w:val="52"/>
              </w:rPr>
              <w:t>无锡市滨湖区公共资源交易中心</w:t>
            </w:r>
            <w:r>
              <w:rPr>
                <w:rFonts w:ascii="宋体" w:hAnsi="宋体" w:cs="宋体" w:eastAsia="宋体"/>
                <w:b w:val="true"/>
                <w:sz w:val="52"/>
              </w:rPr>
              <w:t xml:space="preserve"></w:t>
              <w:br w:type="textWrapping"/>
              <w:t>部门预算公开</w:t>
            </w:r>
            <w:r>
              <w:rPr>
                <w:rFonts w:ascii="宋体" w:hAnsi="宋体" w:cs="宋体" w:eastAsia="宋体"/>
                <w:b w:val="true"/>
                <w:sz w:val="52"/>
              </w:rPr>
              <w:t/>
            </w:r>
            <w:r>
              <w:rPr>
                <w:rFonts w:ascii="宋体" w:hAnsi="宋体" w:cs="宋体" w:eastAsia="宋体"/>
                <w:b w:val="true"/>
                <w:sz w:val="52"/>
              </w:rPr>
              <w:t/>
            </w:r>
          </w:p>
        </w:tc>
      </w:tr>
    </w:tbl>
    <w:p>
      <w:pPr>
        <w:ind w:right="284" w:rightChars="129"/>
        <w:jc w:val="both"/>
        <w:rPr>
          <w:rFonts w:hint="eastAsia" w:ascii="宋体" w:hAnsi="宋体" w:eastAsia="宋体" w:cs="宋体"/>
          <w:b/>
          <w:bCs/>
          <w:sz w:val="52"/>
          <w:szCs w:val="52"/>
        </w:rPr>
        <w:sectPr>
          <w:headerReference r:id="rId5" w:type="first"/>
          <w:headerReference r:id="rId4" w:type="default"/>
          <w:pgSz w:w="11906" w:h="16838"/>
          <w:pgMar w:top="1580" w:right="1020" w:bottom="770" w:left="1020" w:header="170" w:footer="280" w:gutter="0"/>
          <w:pgBorders>
            <w:top w:val="none" w:sz="0" w:space="0"/>
            <w:left w:val="none" w:sz="0" w:space="0"/>
            <w:bottom w:val="none" w:sz="0" w:space="0"/>
            <w:right w:val="none" w:sz="0" w:space="0"/>
          </w:pgBorders>
          <w:pgNumType w:fmt="decimal"/>
          <w:cols w:space="720" w:num="1"/>
          <w:formProt w:val="0"/>
          <w:titlePg/>
          <w:docGrid w:linePitch="100" w:charSpace="0"/>
        </w:sectPr>
      </w:pPr>
    </w:p>
    <w:p>
      <w:pPr>
        <w:pStyle w:val="8"/>
        <w:spacing w:before="4" w:after="0"/>
        <w:rPr>
          <w:rFonts w:ascii="华文仿宋" w:hAnsi="华文仿宋" w:eastAsia="华文仿宋" w:cs="仿宋"/>
          <w:sz w:val="10"/>
        </w:rPr>
      </w:pPr>
    </w:p>
    <w:p>
      <w:pPr>
        <w:pStyle w:val="3"/>
        <w:keepNext w:val="0"/>
        <w:keepLines w:val="0"/>
        <w:pageBreakBefore w:val="0"/>
        <w:widowControl w:val="0"/>
        <w:tabs>
          <w:tab w:val="left" w:pos="880"/>
        </w:tabs>
        <w:kinsoku/>
        <w:wordWrap/>
        <w:overflowPunct/>
        <w:topLinePunct w:val="0"/>
        <w:autoSpaceDE/>
        <w:autoSpaceDN/>
        <w:bidi w:val="0"/>
        <w:adjustRightInd/>
        <w:snapToGrid w:val="0"/>
        <w:spacing w:after="0" w:line="240" w:lineRule="auto"/>
        <w:ind w:right="313" w:firstLine="0"/>
        <w:textAlignment w:val="auto"/>
        <w:rPr>
          <w:rFonts w:hint="eastAsia" w:ascii="仿宋" w:hAnsi="仿宋" w:eastAsia="仿宋" w:cs="仿宋"/>
        </w:rPr>
      </w:pPr>
      <w:r>
        <w:rPr>
          <w:rFonts w:hint="eastAsia" w:ascii="仿宋" w:hAnsi="仿宋" w:eastAsia="仿宋" w:cs="仿宋"/>
          <w:b/>
          <w:bCs/>
        </w:rPr>
        <w:t>目</w:t>
      </w:r>
      <w:r>
        <w:rPr>
          <w:rFonts w:hint="eastAsia" w:ascii="仿宋" w:hAnsi="仿宋" w:eastAsia="仿宋" w:cs="仿宋"/>
          <w:b/>
          <w:bCs/>
        </w:rPr>
        <w:tab/>
      </w:r>
      <w:r>
        <w:rPr>
          <w:rFonts w:hint="eastAsia" w:ascii="仿宋" w:hAnsi="仿宋" w:eastAsia="仿宋" w:cs="仿宋"/>
          <w:b/>
          <w:bCs/>
        </w:rPr>
        <w:t>录</w:t>
      </w:r>
    </w:p>
    <w:p>
      <w:pPr>
        <w:pStyle w:val="8"/>
        <w:keepNext w:val="0"/>
        <w:keepLines w:val="0"/>
        <w:pageBreakBefore w:val="0"/>
        <w:widowControl w:val="0"/>
        <w:kinsoku/>
        <w:wordWrap/>
        <w:overflowPunct/>
        <w:topLinePunct w:val="0"/>
        <w:autoSpaceDE/>
        <w:autoSpaceDN/>
        <w:bidi w:val="0"/>
        <w:adjustRightInd/>
        <w:snapToGrid w:val="0"/>
        <w:spacing w:before="7" w:after="0" w:line="240" w:lineRule="auto"/>
        <w:textAlignment w:val="auto"/>
        <w:rPr>
          <w:rFonts w:hint="eastAsia" w:ascii="仿宋" w:hAnsi="仿宋" w:eastAsia="仿宋" w:cs="仿宋"/>
          <w:sz w:val="27"/>
        </w:rPr>
      </w:pPr>
    </w:p>
    <w:p>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b/>
          <w:bCs/>
        </w:rPr>
        <w:t xml:space="preserve">第一部分 </w:t>
      </w:r>
      <w:r>
        <w:rPr>
          <w:rFonts w:hint="eastAsia" w:ascii="仿宋" w:hAnsi="仿宋" w:eastAsia="仿宋" w:cs="仿宋"/>
          <w:b/>
          <w:bCs/>
          <w:lang w:val="en-US" w:eastAsia="zh-CN"/>
        </w:rPr>
        <w:t>部门</w:t>
      </w:r>
      <w:r>
        <w:rPr>
          <w:rFonts w:hint="eastAsia" w:ascii="仿宋" w:hAnsi="仿宋" w:eastAsia="仿宋" w:cs="仿宋"/>
          <w:b/>
          <w:bCs/>
        </w:rPr>
        <w:t>概况</w:t>
      </w:r>
    </w:p>
    <w:p>
      <w:pPr>
        <w:pStyle w:val="8"/>
        <w:keepNext w:val="0"/>
        <w:keepLines w:val="0"/>
        <w:pageBreakBefore w:val="0"/>
        <w:widowControl w:val="0"/>
        <w:tabs>
          <w:tab w:val="left" w:pos="2249"/>
        </w:tabs>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一、主要职能</w:t>
      </w:r>
    </w:p>
    <w:p>
      <w:pPr>
        <w:pStyle w:val="8"/>
        <w:keepNext w:val="0"/>
        <w:keepLines w:val="0"/>
        <w:pageBreakBefore w:val="0"/>
        <w:widowControl w:val="0"/>
        <w:tabs>
          <w:tab w:val="left" w:pos="2249"/>
        </w:tabs>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二、</w:t>
      </w:r>
      <w:r>
        <w:rPr>
          <w:rFonts w:hint="eastAsia" w:ascii="仿宋" w:hAnsi="仿宋" w:eastAsia="仿宋" w:cs="仿宋"/>
          <w:lang w:val="en-US" w:eastAsia="zh-CN"/>
        </w:rPr>
        <w:t>部门</w:t>
      </w:r>
      <w:r>
        <w:rPr>
          <w:rFonts w:hint="eastAsia" w:ascii="仿宋" w:hAnsi="仿宋" w:eastAsia="仿宋" w:cs="仿宋"/>
        </w:rPr>
        <w:t>机构设置及预算单位构成情况</w:t>
      </w:r>
    </w:p>
    <w:p>
      <w:pPr>
        <w:pStyle w:val="8"/>
        <w:keepNext w:val="0"/>
        <w:keepLines w:val="0"/>
        <w:pageBreakBefore w:val="0"/>
        <w:widowControl w:val="0"/>
        <w:tabs>
          <w:tab w:val="left" w:pos="2249"/>
        </w:tabs>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三、</w:t>
      </w:r>
      <w:r>
        <w:rPr>
          <w:rFonts w:hint="eastAsia" w:ascii="仿宋" w:hAnsi="仿宋" w:eastAsia="仿宋" w:cs="仿宋"/>
          <w:lang w:eastAsia="zh-CN"/>
        </w:rPr>
        <w:t>2025</w:t>
      </w:r>
      <w:r>
        <w:rPr>
          <w:rFonts w:hint="eastAsia" w:ascii="仿宋" w:hAnsi="仿宋" w:eastAsia="仿宋" w:cs="仿宋"/>
        </w:rPr>
        <w:t>年度</w:t>
      </w:r>
      <w:r>
        <w:rPr>
          <w:rFonts w:hint="eastAsia" w:ascii="仿宋" w:hAnsi="仿宋" w:eastAsia="仿宋" w:cs="仿宋"/>
          <w:lang w:val="en-US" w:eastAsia="zh-CN"/>
        </w:rPr>
        <w:t>部门</w:t>
      </w:r>
      <w:r>
        <w:rPr>
          <w:rFonts w:hint="eastAsia" w:ascii="仿宋" w:hAnsi="仿宋" w:eastAsia="仿宋" w:cs="仿宋"/>
        </w:rPr>
        <w:t>主要工作任务及目标</w:t>
      </w:r>
    </w:p>
    <w:p>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b/>
          <w:bCs/>
        </w:rPr>
      </w:pPr>
      <w:r>
        <w:rPr>
          <w:rFonts w:hint="eastAsia" w:ascii="仿宋" w:hAnsi="仿宋" w:eastAsia="仿宋" w:cs="仿宋"/>
          <w:b/>
          <w:bCs/>
          <w:lang w:val="en-US" w:eastAsia="zh-CN"/>
        </w:rPr>
        <w:t xml:space="preserve">第二部分 </w:t>
      </w:r>
      <w:r>
        <w:rPr>
          <w:rFonts w:hint="eastAsia" w:ascii="仿宋" w:hAnsi="仿宋" w:eastAsia="仿宋" w:cs="仿宋"/>
          <w:b/>
          <w:bCs/>
          <w:color w:val="000000"/>
          <w:sz w:val="30"/>
          <w:szCs w:val="30"/>
          <w:lang w:val="en-US" w:eastAsia="zh-CN" w:bidi="ar"/>
        </w:rPr>
        <w:t>2025</w:t>
      </w:r>
      <w:r>
        <w:rPr>
          <w:rFonts w:hint="eastAsia" w:ascii="仿宋" w:hAnsi="仿宋" w:eastAsia="仿宋" w:cs="仿宋"/>
          <w:b/>
          <w:bCs/>
          <w:lang w:val="en-US" w:eastAsia="zh-CN"/>
        </w:rPr>
        <w:t>年度</w:t>
      </w:r>
      <w:r>
        <w:rPr>
          <w:rFonts w:ascii="仿宋" w:hAnsi="仿宋" w:cs="仿宋" w:eastAsia="仿宋"/>
          <w:b w:val="true"/>
        </w:rPr>
        <w:t>部门</w:t>
      </w:r>
      <w:r>
        <w:rPr>
          <w:rFonts w:ascii="仿宋" w:hAnsi="仿宋" w:cs="仿宋" w:eastAsia="仿宋"/>
          <w:b w:val="true"/>
        </w:rPr>
        <w:t>预算表</w:t>
      </w:r>
    </w:p>
    <w:p>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一、收支总表</w:t>
      </w:r>
    </w:p>
    <w:p>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二、收入总表</w:t>
      </w:r>
    </w:p>
    <w:p>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三、支出总表</w:t>
      </w:r>
    </w:p>
    <w:p>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四、财政拨款收支总表</w:t>
      </w:r>
    </w:p>
    <w:p>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五、财政拨款支出表（功能科目）</w:t>
      </w:r>
    </w:p>
    <w:p>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六、财政拨款基本支出表（经济科目）</w:t>
      </w:r>
    </w:p>
    <w:p>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七、一般公共预算支出表</w:t>
      </w:r>
    </w:p>
    <w:p>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八、一般公共预算基本支出表</w:t>
      </w:r>
    </w:p>
    <w:p>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九、一般公共预算“三公”经费、会议费、培训费支出表</w:t>
      </w:r>
    </w:p>
    <w:p>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十、政府性基金预算支出表</w:t>
      </w:r>
    </w:p>
    <w:p>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十</w:t>
      </w:r>
      <w:r>
        <w:rPr>
          <w:rFonts w:hint="eastAsia" w:ascii="仿宋" w:hAnsi="仿宋" w:eastAsia="仿宋" w:cs="仿宋"/>
          <w:lang w:val="en-US" w:eastAsia="zh-CN"/>
        </w:rPr>
        <w:t>一</w:t>
      </w:r>
      <w:r>
        <w:rPr>
          <w:rFonts w:hint="eastAsia" w:ascii="仿宋" w:hAnsi="仿宋" w:eastAsia="仿宋" w:cs="仿宋"/>
        </w:rPr>
        <w:t>、国有资本经营预算支出预算表</w:t>
      </w:r>
    </w:p>
    <w:p>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十</w:t>
      </w:r>
      <w:r>
        <w:rPr>
          <w:rFonts w:hint="eastAsia" w:ascii="仿宋" w:hAnsi="仿宋" w:eastAsia="仿宋" w:cs="仿宋"/>
          <w:lang w:val="en-US" w:eastAsia="zh-CN"/>
        </w:rPr>
        <w:t>二</w:t>
      </w:r>
      <w:r>
        <w:rPr>
          <w:rFonts w:hint="eastAsia" w:ascii="仿宋" w:hAnsi="仿宋" w:eastAsia="仿宋" w:cs="仿宋"/>
        </w:rPr>
        <w:t>、一般公共预算机关运行经费支出预算表</w:t>
      </w:r>
    </w:p>
    <w:p>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十</w:t>
      </w:r>
      <w:r>
        <w:rPr>
          <w:rFonts w:hint="eastAsia" w:ascii="仿宋" w:hAnsi="仿宋" w:eastAsia="仿宋" w:cs="仿宋"/>
          <w:lang w:val="en-US" w:eastAsia="zh-CN"/>
        </w:rPr>
        <w:t>三</w:t>
      </w:r>
      <w:r>
        <w:rPr>
          <w:rFonts w:hint="eastAsia" w:ascii="仿宋" w:hAnsi="仿宋" w:eastAsia="仿宋" w:cs="仿宋"/>
        </w:rPr>
        <w:t>、政府采购支出表</w:t>
      </w:r>
    </w:p>
    <w:p>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right="506" w:rightChars="0" w:hanging="11" w:firstLineChars="0"/>
        <w:jc w:val="both"/>
        <w:textAlignment w:val="auto"/>
        <w:rPr>
          <w:rFonts w:hint="eastAsia" w:ascii="仿宋" w:hAnsi="仿宋" w:eastAsia="仿宋" w:cs="仿宋"/>
          <w:b/>
          <w:bCs/>
          <w:color w:val="000000"/>
          <w:sz w:val="30"/>
          <w:szCs w:val="30"/>
          <w:lang w:val="en-US" w:bidi="ar"/>
        </w:rPr>
      </w:pPr>
      <w:r>
        <w:rPr>
          <w:rFonts w:hint="eastAsia" w:ascii="仿宋" w:hAnsi="仿宋" w:eastAsia="仿宋" w:cs="仿宋"/>
          <w:b/>
          <w:bCs/>
          <w:lang w:val="en-US"/>
        </w:rPr>
        <w:t xml:space="preserve">第三部分 </w:t>
      </w:r>
      <w:r>
        <w:rPr>
          <w:rFonts w:hint="eastAsia" w:ascii="仿宋" w:hAnsi="仿宋" w:eastAsia="仿宋" w:cs="仿宋"/>
          <w:b/>
          <w:bCs/>
          <w:color w:val="000000"/>
          <w:sz w:val="30"/>
          <w:szCs w:val="30"/>
          <w:lang w:val="en-US" w:eastAsia="zh-CN" w:bidi="ar"/>
        </w:rPr>
        <w:t>2025</w:t>
      </w:r>
      <w:r>
        <w:rPr>
          <w:rFonts w:hint="eastAsia" w:ascii="仿宋" w:hAnsi="仿宋" w:eastAsia="仿宋" w:cs="仿宋"/>
          <w:b/>
          <w:bCs/>
          <w:color w:val="000000"/>
          <w:sz w:val="30"/>
          <w:szCs w:val="30"/>
          <w:lang w:val="en-US" w:bidi="ar"/>
        </w:rPr>
        <w:t>年度</w:t>
      </w:r>
      <w:r>
        <w:rPr>
          <w:rFonts w:ascii="仿宋" w:hAnsi="仿宋" w:cs="仿宋" w:eastAsia="仿宋"/>
          <w:b w:val="true"/>
          <w:color w:val="000000"/>
          <w:sz w:val="30"/>
        </w:rPr>
        <w:t>部门</w:t>
      </w:r>
      <w:r>
        <w:rPr>
          <w:rFonts w:hint="eastAsia" w:ascii="仿宋" w:hAnsi="仿宋" w:eastAsia="仿宋" w:cs="仿宋"/>
          <w:b/>
          <w:bCs/>
          <w:color w:val="000000"/>
          <w:sz w:val="30"/>
          <w:szCs w:val="30"/>
          <w:lang w:val="en-US" w:eastAsia="zh-CN" w:bidi="ar"/>
        </w:rPr>
        <w:t>预算</w:t>
      </w:r>
      <w:r>
        <w:rPr>
          <w:rFonts w:hint="eastAsia" w:ascii="仿宋" w:hAnsi="仿宋" w:eastAsia="仿宋" w:cs="仿宋"/>
          <w:b/>
          <w:bCs/>
          <w:color w:val="000000"/>
          <w:sz w:val="30"/>
          <w:szCs w:val="30"/>
          <w:lang w:val="en-US" w:bidi="ar"/>
        </w:rPr>
        <w:t>情况说明</w:t>
      </w:r>
    </w:p>
    <w:p>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right="2575" w:hanging="11" w:firstLineChars="0"/>
        <w:jc w:val="both"/>
        <w:textAlignment w:val="auto"/>
        <w:rPr>
          <w:rFonts w:hint="default" w:ascii="仿宋" w:hAnsi="仿宋" w:eastAsia="仿宋" w:cs="仿宋"/>
          <w:b/>
          <w:bCs/>
          <w:color w:val="000000"/>
          <w:sz w:val="30"/>
          <w:szCs w:val="30"/>
          <w:lang w:val="en-US" w:eastAsia="zh-CN" w:bidi="ar"/>
        </w:rPr>
      </w:pPr>
      <w:r>
        <w:rPr>
          <w:rFonts w:hint="eastAsia" w:ascii="仿宋" w:hAnsi="仿宋" w:eastAsia="仿宋" w:cs="仿宋"/>
          <w:b/>
          <w:bCs/>
          <w:lang w:val="en-US"/>
        </w:rPr>
        <w:t>第</w:t>
      </w:r>
      <w:r>
        <w:rPr>
          <w:rFonts w:hint="eastAsia" w:ascii="仿宋" w:hAnsi="仿宋" w:eastAsia="仿宋" w:cs="仿宋"/>
          <w:b/>
          <w:bCs/>
          <w:lang w:val="en-US" w:eastAsia="zh-CN"/>
        </w:rPr>
        <w:t>四</w:t>
      </w:r>
      <w:r>
        <w:rPr>
          <w:rFonts w:hint="eastAsia" w:ascii="仿宋" w:hAnsi="仿宋" w:eastAsia="仿宋" w:cs="仿宋"/>
          <w:b/>
          <w:bCs/>
          <w:lang w:val="en-US"/>
        </w:rPr>
        <w:t xml:space="preserve">部分 </w:t>
      </w:r>
      <w:r>
        <w:rPr>
          <w:rFonts w:hint="eastAsia" w:ascii="仿宋" w:hAnsi="仿宋" w:eastAsia="仿宋" w:cs="仿宋"/>
          <w:b/>
          <w:bCs/>
          <w:lang w:val="en-US" w:eastAsia="zh-CN"/>
        </w:rPr>
        <w:t>名词解释</w:t>
      </w:r>
    </w:p>
    <w:p>
      <w:pPr>
        <w:pStyle w:val="8"/>
        <w:keepNext w:val="0"/>
        <w:keepLines w:val="0"/>
        <w:pageBreakBefore w:val="0"/>
        <w:widowControl w:val="0"/>
        <w:kinsoku/>
        <w:wordWrap/>
        <w:overflowPunct/>
        <w:topLinePunct w:val="0"/>
        <w:autoSpaceDE/>
        <w:autoSpaceDN/>
        <w:bidi w:val="0"/>
        <w:adjustRightInd/>
        <w:snapToGrid w:val="0"/>
        <w:spacing w:after="0" w:line="312" w:lineRule="auto"/>
        <w:ind w:left="669" w:leftChars="300" w:right="2414" w:hanging="9" w:firstLineChars="0"/>
        <w:jc w:val="both"/>
        <w:textAlignment w:val="auto"/>
        <w:rPr>
          <w:rFonts w:hint="eastAsia" w:ascii="仿宋" w:hAnsi="仿宋" w:eastAsia="仿宋" w:cs="仿宋"/>
        </w:rPr>
        <w:sectPr>
          <w:footerReference r:id="rId6" w:type="default"/>
          <w:pgSz w:w="11906" w:h="16838"/>
          <w:pgMar w:top="1580" w:right="1020" w:bottom="770" w:left="1020" w:header="170" w:footer="280" w:gutter="0"/>
          <w:pgBorders>
            <w:top w:val="none" w:sz="0" w:space="0"/>
            <w:left w:val="none" w:sz="0" w:space="0"/>
            <w:bottom w:val="none" w:sz="0" w:space="0"/>
            <w:right w:val="none" w:sz="0" w:space="0"/>
          </w:pgBorders>
          <w:pgNumType w:fmt="numberInDash" w:start="1"/>
          <w:cols w:space="720" w:num="1"/>
          <w:formProt w:val="0"/>
          <w:docGrid w:linePitch="100" w:charSpace="0"/>
        </w:sectPr>
      </w:pPr>
    </w:p>
    <w:p>
      <w:pPr>
        <w:pStyle w:val="8"/>
        <w:spacing w:before="1" w:after="0"/>
        <w:rPr>
          <w:rFonts w:ascii="华文仿宋" w:hAnsi="华文仿宋" w:eastAsia="华文仿宋" w:cs="仿宋"/>
          <w:sz w:val="14"/>
        </w:rPr>
      </w:pPr>
    </w:p>
    <w:p>
      <w:pPr>
        <w:pStyle w:val="5"/>
        <w:tabs>
          <w:tab w:val="left" w:pos="4395"/>
        </w:tabs>
        <w:spacing w:line="606" w:lineRule="exact"/>
        <w:ind w:right="504" w:rightChars="229"/>
        <w:jc w:val="center"/>
        <w:rPr>
          <w:rFonts w:hint="eastAsia" w:ascii="仿宋" w:hAnsi="仿宋" w:eastAsia="仿宋" w:cs="仿宋"/>
          <w:b/>
          <w:bCs/>
        </w:rPr>
      </w:pPr>
      <w:r>
        <w:rPr>
          <w:rFonts w:hint="eastAsia" w:ascii="仿宋" w:hAnsi="仿宋" w:eastAsia="仿宋" w:cs="仿宋"/>
          <w:b/>
          <w:bCs/>
        </w:rPr>
        <w:t>第一部分</w:t>
      </w:r>
      <w:r>
        <w:rPr>
          <w:rFonts w:hint="eastAsia" w:ascii="仿宋" w:hAnsi="仿宋" w:eastAsia="仿宋" w:cs="仿宋"/>
          <w:b/>
          <w:bCs/>
          <w:lang w:val="en-US" w:eastAsia="zh-CN"/>
        </w:rPr>
        <w:t xml:space="preserve"> </w:t>
      </w:r>
      <w:r>
        <w:rPr>
          <w:rFonts w:hint="eastAsia" w:ascii="仿宋" w:hAnsi="仿宋" w:eastAsia="仿宋" w:cs="仿宋"/>
          <w:b/>
          <w:bCs/>
        </w:rPr>
        <w:t>部门</w:t>
      </w:r>
      <w:r>
        <w:rPr>
          <w:rFonts w:hint="eastAsia" w:ascii="仿宋" w:hAnsi="仿宋" w:eastAsia="仿宋" w:cs="仿宋"/>
          <w:b/>
          <w:bCs/>
        </w:rPr>
        <w:t>概况</w:t>
      </w:r>
    </w:p>
    <w:p>
      <w:pPr>
        <w:ind w:right="504" w:rightChars="229"/>
        <w:jc w:val="both"/>
        <w:rPr>
          <w:rFonts w:hint="eastAsia"/>
        </w:rPr>
      </w:pP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b/>
          <w:bCs/>
        </w:rPr>
      </w:pPr>
      <w:r>
        <w:rPr>
          <w:rFonts w:hint="eastAsia" w:ascii="仿宋" w:hAnsi="仿宋" w:eastAsia="仿宋" w:cs="仿宋"/>
          <w:b/>
          <w:bCs/>
        </w:rPr>
        <w:t>一、主要职能</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hint="eastAsia" w:ascii="仿宋" w:hAnsi="仿宋" w:eastAsia="仿宋" w:cs="仿宋"/>
          <w:lang w:val="en-US"/>
        </w:rPr>
        <w:t/>
      </w:r>
      <w:r>
        <w:rPr>
          <w:rFonts w:ascii="仿宋" w:hAnsi="仿宋" w:cs="仿宋" w:eastAsia="仿宋"/>
        </w:rPr>
        <w:t>（1）贯彻实施公共资源交易相关法律、法规和政策，负责建设工程交易、政府采购、国有产权交易、农村产权交易及政府授权或委托的公共资源交易活动的组织实施和日常管理。</w:t>
      </w:r>
      <w:r>
        <w:rPr>
          <w:rFonts w:ascii="仿宋" w:hAnsi="仿宋" w:cs="仿宋" w:eastAsia="仿宋"/>
        </w:rPr>
        <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hint="eastAsia" w:ascii="仿宋" w:hAnsi="仿宋" w:eastAsia="仿宋" w:cs="仿宋"/>
          <w:lang w:val="en-US"/>
        </w:rPr>
        <w:t/>
      </w:r>
      <w:r>
        <w:rPr>
          <w:rFonts w:ascii="仿宋" w:hAnsi="仿宋" w:cs="仿宋" w:eastAsia="仿宋"/>
        </w:rPr>
        <w:t>（2）会同有关部门拟定公共资源交易场内交易管理服务规章制度、工作流程并组织实施。</w:t>
      </w:r>
      <w:r>
        <w:rPr>
          <w:rFonts w:ascii="仿宋" w:hAnsi="仿宋" w:cs="仿宋" w:eastAsia="仿宋"/>
        </w:rPr>
        <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hint="eastAsia" w:ascii="仿宋" w:hAnsi="仿宋" w:eastAsia="仿宋" w:cs="仿宋"/>
          <w:lang w:val="en-US"/>
        </w:rPr>
        <w:t/>
      </w:r>
      <w:r>
        <w:rPr>
          <w:rFonts w:ascii="仿宋" w:hAnsi="仿宋" w:cs="仿宋" w:eastAsia="仿宋"/>
        </w:rPr>
        <w:t>（3）承担或协助做好公共资源交易项目的受理、备案、资料核验与归档和信息发布工作，为交易各方提供交易场所、信息资料、技术咨询及其他相关服务，组织交易项目的投标、开标、评标、定标活动，根据行业主管部门确定的专家库，抽取专家评委。</w:t>
      </w:r>
      <w:r>
        <w:rPr>
          <w:rFonts w:ascii="仿宋" w:hAnsi="仿宋" w:cs="仿宋" w:eastAsia="仿宋"/>
        </w:rPr>
        <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hint="eastAsia" w:ascii="仿宋" w:hAnsi="仿宋" w:eastAsia="仿宋" w:cs="仿宋"/>
          <w:lang w:val="en-US"/>
        </w:rPr>
        <w:t/>
      </w:r>
      <w:r>
        <w:rPr>
          <w:rFonts w:ascii="仿宋" w:hAnsi="仿宋" w:cs="仿宋" w:eastAsia="仿宋"/>
        </w:rPr>
        <w:t>（4）负责核验交易各方、中介机构的进场交易资格，建立公共资源进场交易单位的信誉评价制度。</w:t>
      </w:r>
      <w:r>
        <w:rPr>
          <w:rFonts w:ascii="仿宋" w:hAnsi="仿宋" w:cs="仿宋" w:eastAsia="仿宋"/>
        </w:rPr>
        <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hint="eastAsia" w:ascii="仿宋" w:hAnsi="仿宋" w:eastAsia="仿宋" w:cs="仿宋"/>
          <w:lang w:val="en-US"/>
        </w:rPr>
        <w:t/>
      </w:r>
      <w:r>
        <w:rPr>
          <w:rFonts w:ascii="仿宋" w:hAnsi="仿宋" w:cs="仿宋" w:eastAsia="仿宋"/>
        </w:rPr>
        <w:t>（5）承担公共资源交易各类保证金的代收代退的管理工作。</w:t>
      </w:r>
      <w:r>
        <w:rPr>
          <w:rFonts w:ascii="仿宋" w:hAnsi="仿宋" w:cs="仿宋" w:eastAsia="仿宋"/>
        </w:rPr>
        <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hint="eastAsia" w:ascii="仿宋" w:hAnsi="仿宋" w:eastAsia="仿宋" w:cs="仿宋"/>
          <w:lang w:val="en-US"/>
        </w:rPr>
        <w:t/>
      </w:r>
      <w:r>
        <w:rPr>
          <w:rFonts w:ascii="仿宋" w:hAnsi="仿宋" w:cs="仿宋" w:eastAsia="仿宋"/>
        </w:rPr>
        <w:t>（6）为公共资源交易行政监督提供监管平台，负责见证公共资源现场交易活动，维护交易活动秩序，整理、保存相关文本文书、电子介质等交易资料；协助有关部门处理交易活动中产生的质疑和投诉事宜。</w:t>
      </w:r>
      <w:r>
        <w:rPr>
          <w:rFonts w:ascii="仿宋" w:hAnsi="仿宋" w:cs="仿宋" w:eastAsia="仿宋"/>
        </w:rPr>
        <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hint="eastAsia" w:ascii="仿宋" w:hAnsi="仿宋" w:eastAsia="仿宋" w:cs="仿宋"/>
          <w:lang w:val="en-US"/>
        </w:rPr>
        <w:t/>
      </w:r>
      <w:r>
        <w:rPr>
          <w:rFonts w:ascii="仿宋" w:hAnsi="仿宋" w:cs="仿宋" w:eastAsia="仿宋"/>
        </w:rPr>
        <w:t>（7）承担全区公共资源交易信息化平台和电子专业交易系统的建设、运营、维护和管理。</w:t>
      </w:r>
      <w:r>
        <w:rPr>
          <w:rFonts w:ascii="仿宋" w:hAnsi="仿宋" w:cs="仿宋" w:eastAsia="仿宋"/>
        </w:rPr>
        <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hint="eastAsia" w:ascii="仿宋" w:hAnsi="仿宋" w:eastAsia="仿宋" w:cs="仿宋"/>
          <w:lang w:val="en-US"/>
        </w:rPr>
        <w:t/>
      </w:r>
      <w:r>
        <w:rPr>
          <w:rFonts w:ascii="仿宋" w:hAnsi="仿宋" w:cs="仿宋" w:eastAsia="仿宋"/>
        </w:rPr>
        <w:t>（8）负责交易现场的监控，协助有关监管部门调查处理。</w:t>
      </w:r>
      <w:r>
        <w:rPr>
          <w:rFonts w:ascii="仿宋" w:hAnsi="仿宋" w:cs="仿宋" w:eastAsia="仿宋"/>
        </w:rPr>
        <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hint="eastAsia" w:ascii="仿宋" w:hAnsi="仿宋" w:eastAsia="仿宋" w:cs="仿宋"/>
          <w:lang w:val="en-US"/>
        </w:rPr>
        <w:t/>
      </w:r>
      <w:r>
        <w:rPr>
          <w:rFonts w:ascii="仿宋" w:hAnsi="仿宋" w:cs="仿宋" w:eastAsia="仿宋"/>
        </w:rPr>
        <w:t>（9）承办区政府交办的其他事项。</w:t>
      </w:r>
      <w:r>
        <w:rPr>
          <w:rFonts w:ascii="仿宋" w:hAnsi="仿宋" w:cs="仿宋" w:eastAsia="仿宋"/>
        </w:rPr>
        <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b/>
          <w:bCs/>
        </w:rPr>
      </w:pPr>
      <w:r>
        <w:rPr>
          <w:rFonts w:hint="eastAsia" w:ascii="仿宋" w:hAnsi="仿宋" w:eastAsia="仿宋" w:cs="仿宋"/>
          <w:b/>
          <w:bCs/>
        </w:rPr>
        <w:t>二、</w:t>
      </w:r>
      <w:r>
        <w:rPr>
          <w:rFonts w:ascii="仿宋" w:hAnsi="仿宋" w:cs="仿宋" w:eastAsia="仿宋"/>
          <w:b w:val="true"/>
        </w:rPr>
        <w:t>部门</w:t>
      </w:r>
      <w:r>
        <w:rPr>
          <w:rFonts w:hint="eastAsia" w:ascii="仿宋" w:hAnsi="仿宋" w:eastAsia="仿宋" w:cs="仿宋"/>
          <w:b/>
          <w:bCs/>
        </w:rPr>
        <w:t>机构设置及预算单位构成情况</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hint="eastAsia" w:ascii="仿宋" w:hAnsi="仿宋" w:eastAsia="仿宋" w:cs="仿宋"/>
          <w:lang w:val="en-US" w:eastAsia="zh-CN"/>
        </w:rPr>
        <w:t/>
      </w:r>
      <w:r>
        <w:rPr>
          <w:rFonts w:hint="eastAsia" w:ascii="仿宋" w:hAnsi="仿宋" w:eastAsia="仿宋" w:cs="仿宋"/>
          <w:lang w:val="en-US" w:eastAsia="zh-CN"/>
        </w:rPr>
        <w:t>1.</w:t>
      </w:r>
      <w:r>
        <w:rPr>
          <w:rFonts w:ascii="仿宋" w:hAnsi="仿宋" w:cs="仿宋" w:eastAsia="仿宋"/>
        </w:rPr>
        <w:t/>
      </w:r>
      <w:r>
        <w:rPr>
          <w:rFonts w:hint="eastAsia" w:ascii="仿宋" w:hAnsi="仿宋" w:eastAsia="仿宋" w:cs="仿宋"/>
        </w:rPr>
        <w:t>根据</w:t>
      </w:r>
      <w:r>
        <w:rPr>
          <w:rFonts w:hint="eastAsia" w:ascii="仿宋" w:hAnsi="仿宋" w:eastAsia="仿宋" w:cs="仿宋"/>
          <w:lang w:val="en-US" w:eastAsia="zh-CN"/>
        </w:rPr>
        <w:t>部门</w:t>
      </w:r>
      <w:r>
        <w:rPr>
          <w:rFonts w:hint="eastAsia" w:ascii="仿宋" w:hAnsi="仿宋" w:eastAsia="仿宋" w:cs="仿宋"/>
        </w:rPr>
        <w:t>职责分工，</w:t>
      </w:r>
      <w:r>
        <w:rPr>
          <w:rFonts w:hint="eastAsia" w:ascii="仿宋" w:hAnsi="仿宋" w:eastAsia="仿宋" w:cs="仿宋"/>
          <w:lang w:val="en-US"/>
        </w:rPr>
        <w:t/>
      </w:r>
      <w:r>
        <w:rPr>
          <w:rFonts w:ascii="仿宋" w:hAnsi="仿宋" w:cs="仿宋" w:eastAsia="仿宋"/>
        </w:rPr>
        <w:t/>
      </w:r>
      <w:r>
        <w:rPr>
          <w:rFonts w:ascii="仿宋" w:hAnsi="仿宋" w:cs="仿宋" w:eastAsia="仿宋"/>
        </w:rPr>
        <w:t>本部门内设机构包括：</w:t>
      </w:r>
      <w:r>
        <w:rPr>
          <w:rFonts w:ascii="仿宋" w:hAnsi="仿宋" w:cs="仿宋" w:eastAsia="仿宋"/>
        </w:rPr>
        <w:t/>
      </w:r>
      <w:r>
        <w:rPr>
          <w:rFonts w:ascii="仿宋" w:hAnsi="仿宋" w:cs="仿宋" w:eastAsia="仿宋"/>
        </w:rPr>
        <w:t/>
      </w:r>
      <w:r>
        <w:rPr>
          <w:rFonts w:ascii="仿宋" w:hAnsi="仿宋" w:cs="仿宋" w:eastAsia="仿宋"/>
        </w:rPr>
        <w:t>办公室(信息科)、财务人事科、法规宣传科、综合监管科、建设项目交易科、采购服务科、国有产权交易科、农村产权交易科。</w:t>
      </w:r>
      <w:r>
        <w:rPr>
          <w:rFonts w:ascii="仿宋" w:hAnsi="仿宋" w:cs="仿宋" w:eastAsia="仿宋"/>
        </w:rPr>
        <w:t/>
      </w:r>
      <w:r>
        <w:rPr>
          <w:rFonts w:ascii="仿宋" w:hAnsi="仿宋" w:cs="仿宋" w:eastAsia="仿宋"/>
        </w:rPr>
        <w:t/>
      </w:r>
      <w:r>
        <w:rPr>
          <w:rFonts w:ascii="仿宋" w:hAnsi="仿宋" w:cs="仿宋" w:eastAsia="仿宋"/>
        </w:rPr>
        <w:t/>
      </w:r>
      <w:r>
        <w:rPr>
          <w:rFonts w:ascii="仿宋" w:hAnsi="仿宋" w:cs="仿宋" w:eastAsia="仿宋"/>
        </w:rPr>
        <w:t/>
      </w:r>
      <w:r>
        <w:rPr>
          <w:rFonts w:ascii="仿宋" w:hAnsi="仿宋" w:cs="仿宋" w:eastAsia="仿宋"/>
        </w:rPr>
        <w:t>本部门无下属单位。</w:t>
      </w:r>
      <w:r>
        <w:rPr>
          <w:rFonts w:ascii="仿宋" w:hAnsi="仿宋" w:cs="仿宋" w:eastAsia="仿宋"/>
        </w:rPr>
        <w:t/>
      </w:r>
      <w:r>
        <w:rPr>
          <w:rFonts w:ascii="仿宋" w:hAnsi="仿宋" w:cs="仿宋" w:eastAsia="仿宋"/>
        </w:rPr>
        <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hint="eastAsia" w:ascii="仿宋" w:hAnsi="仿宋" w:eastAsia="仿宋" w:cs="仿宋"/>
          <w:lang w:val="en-US" w:eastAsia="zh-CN"/>
        </w:rPr>
        <w:t>2.</w:t>
      </w:r>
      <w:r>
        <w:rPr>
          <w:rFonts w:hint="eastAsia" w:ascii="仿宋" w:hAnsi="仿宋" w:eastAsia="仿宋" w:cs="仿宋"/>
        </w:rPr>
        <w:t>从</w:t>
      </w:r>
      <w:r>
        <w:rPr>
          <w:rFonts w:hint="eastAsia" w:ascii="仿宋" w:hAnsi="仿宋" w:eastAsia="仿宋" w:cs="仿宋"/>
          <w:lang w:eastAsia="zh-CN"/>
        </w:rPr>
        <w:t>预算</w:t>
      </w:r>
      <w:r>
        <w:rPr>
          <w:rFonts w:hint="eastAsia" w:ascii="仿宋" w:hAnsi="仿宋" w:eastAsia="仿宋" w:cs="仿宋"/>
        </w:rPr>
        <w:t>单位构成看，纳入本</w:t>
      </w:r>
      <w:r>
        <w:rPr>
          <w:rFonts w:hint="eastAsia" w:ascii="仿宋" w:hAnsi="仿宋" w:eastAsia="仿宋" w:cs="仿宋"/>
          <w:lang w:val="en-US" w:eastAsia="zh-CN"/>
        </w:rPr>
        <w:t>部门</w:t>
      </w:r>
      <w:r>
        <w:rPr>
          <w:rFonts w:hint="eastAsia" w:ascii="仿宋" w:hAnsi="仿宋" w:eastAsia="仿宋" w:cs="仿宋"/>
          <w:lang w:eastAsia="zh-CN"/>
        </w:rPr>
        <w:t>2025</w:t>
      </w:r>
      <w:r>
        <w:rPr>
          <w:rFonts w:hint="eastAsia" w:ascii="仿宋" w:hAnsi="仿宋" w:eastAsia="仿宋" w:cs="仿宋"/>
        </w:rPr>
        <w:t>年</w:t>
      </w:r>
      <w:r>
        <w:rPr>
          <w:rFonts w:hint="eastAsia" w:ascii="仿宋" w:hAnsi="仿宋" w:eastAsia="仿宋" w:cs="仿宋"/>
          <w:lang w:val="en-US" w:eastAsia="zh-CN"/>
        </w:rPr>
        <w:t>部门</w:t>
      </w:r>
      <w:r>
        <w:rPr>
          <w:rFonts w:hint="eastAsia" w:ascii="仿宋" w:hAnsi="仿宋" w:eastAsia="仿宋" w:cs="仿宋"/>
        </w:rPr>
        <w:t>汇总</w:t>
      </w:r>
      <w:r>
        <w:rPr>
          <w:rFonts w:hint="eastAsia" w:ascii="仿宋" w:hAnsi="仿宋" w:eastAsia="仿宋" w:cs="仿宋"/>
          <w:lang w:eastAsia="zh-CN"/>
        </w:rPr>
        <w:t>预算</w:t>
      </w:r>
      <w:r>
        <w:rPr>
          <w:rFonts w:hint="eastAsia" w:ascii="仿宋" w:hAnsi="仿宋" w:eastAsia="仿宋" w:cs="仿宋"/>
        </w:rPr>
        <w:t>编制范围的预算单位共计</w:t>
      </w:r>
      <w:r>
        <w:rPr>
          <w:rFonts w:hint="eastAsia" w:ascii="仿宋" w:hAnsi="仿宋" w:eastAsia="仿宋" w:cs="仿宋"/>
          <w:lang w:val="en-US"/>
        </w:rPr>
        <w:t/>
      </w:r>
      <w:r>
        <w:rPr>
          <w:rFonts w:ascii="仿宋" w:hAnsi="仿宋" w:cs="仿宋" w:eastAsia="仿宋"/>
        </w:rPr>
        <w:t/>
      </w:r>
      <w:r>
        <w:rPr>
          <w:rFonts w:ascii="仿宋" w:hAnsi="仿宋" w:cs="仿宋" w:eastAsia="仿宋"/>
        </w:rPr>
        <w:t>1</w:t>
      </w:r>
      <w:r>
        <w:rPr>
          <w:rFonts w:ascii="仿宋" w:hAnsi="仿宋" w:cs="仿宋" w:eastAsia="仿宋"/>
        </w:rPr>
        <w:t/>
      </w:r>
      <w:r>
        <w:rPr>
          <w:rFonts w:ascii="仿宋" w:hAnsi="仿宋" w:cs="仿宋" w:eastAsia="仿宋"/>
        </w:rPr>
        <w:t/>
      </w:r>
      <w:r>
        <w:rPr>
          <w:rFonts w:hint="eastAsia" w:ascii="仿宋" w:hAnsi="仿宋" w:eastAsia="仿宋" w:cs="仿宋"/>
        </w:rPr>
        <w:t>家，具体包括：</w:t>
      </w:r>
      <w:r>
        <w:rPr>
          <w:rFonts w:hint="eastAsia" w:ascii="仿宋" w:hAnsi="仿宋" w:eastAsia="仿宋" w:cs="仿宋"/>
          <w:lang w:val="en-US"/>
        </w:rPr>
        <w:t/>
      </w:r>
      <w:r>
        <w:rPr>
          <w:rFonts w:ascii="仿宋" w:hAnsi="仿宋" w:cs="仿宋" w:eastAsia="仿宋"/>
        </w:rPr>
        <w:t/>
      </w:r>
      <w:r>
        <w:rPr>
          <w:rFonts w:ascii="仿宋" w:hAnsi="仿宋" w:cs="仿宋" w:eastAsia="仿宋"/>
        </w:rPr>
        <w:t>无锡市滨湖区公共资源交易中心（本级）。</w:t>
      </w:r>
      <w:r>
        <w:rPr>
          <w:rFonts w:ascii="仿宋" w:hAnsi="仿宋" w:cs="仿宋" w:eastAsia="仿宋"/>
        </w:rPr>
        <w:t/>
      </w:r>
      <w:r>
        <w:rPr>
          <w:rFonts w:ascii="仿宋" w:hAnsi="仿宋" w:cs="仿宋" w:eastAsia="仿宋"/>
        </w:rPr>
        <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b/>
          <w:bCs/>
        </w:rPr>
      </w:pPr>
      <w:r>
        <w:rPr>
          <w:rFonts w:hint="eastAsia" w:ascii="仿宋" w:hAnsi="仿宋" w:eastAsia="仿宋" w:cs="仿宋"/>
          <w:b/>
          <w:bCs/>
        </w:rPr>
        <w:t>三、</w:t>
      </w:r>
      <w:r>
        <w:rPr>
          <w:rFonts w:hint="eastAsia" w:ascii="仿宋" w:hAnsi="仿宋" w:eastAsia="仿宋" w:cs="仿宋"/>
          <w:b/>
          <w:bCs/>
          <w:lang w:eastAsia="zh-CN"/>
        </w:rPr>
        <w:t>2025</w:t>
      </w:r>
      <w:r>
        <w:rPr>
          <w:rFonts w:hint="eastAsia" w:ascii="仿宋" w:hAnsi="仿宋" w:eastAsia="仿宋" w:cs="仿宋"/>
          <w:b/>
          <w:bCs/>
        </w:rPr>
        <w:t>年度</w:t>
      </w:r>
      <w:r>
        <w:rPr>
          <w:rFonts w:ascii="仿宋" w:hAnsi="仿宋" w:cs="仿宋" w:eastAsia="仿宋"/>
          <w:b w:val="true"/>
        </w:rPr>
        <w:t>部门</w:t>
      </w:r>
      <w:r>
        <w:rPr>
          <w:rFonts w:ascii="仿宋" w:hAnsi="仿宋" w:cs="仿宋" w:eastAsia="仿宋"/>
          <w:b w:val="true"/>
        </w:rPr>
        <w:t>主要工作任务及目标</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hint="eastAsia" w:ascii="仿宋" w:hAnsi="仿宋" w:eastAsia="仿宋" w:cs="仿宋"/>
          <w:lang w:val="en-US"/>
        </w:rPr>
        <w:t/>
      </w:r>
      <w:r>
        <w:rPr>
          <w:rFonts w:ascii="仿宋" w:hAnsi="仿宋" w:cs="仿宋" w:eastAsia="仿宋"/>
        </w:rPr>
        <w:t>2025年，区公共资源交易中心将继续深化交易服务标准化工作和数智化转型，积极开展交易数据分析，建设数字监管、数字见证、滨湖区限额平台等系统，持续推进跨区域远程异地评标、全流程电子化交易，打造公平公正、阳光透明的交易环境，全面提升各类交易主体的获得感。</w:t>
      </w:r>
      <w:r>
        <w:rPr>
          <w:rFonts w:ascii="仿宋" w:hAnsi="仿宋" w:cs="仿宋" w:eastAsia="仿宋"/>
        </w:rPr>
        <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hint="eastAsia" w:ascii="仿宋" w:hAnsi="仿宋" w:eastAsia="仿宋" w:cs="仿宋"/>
          <w:lang w:val="en-US"/>
        </w:rPr>
        <w:t/>
      </w:r>
      <w:r>
        <w:rPr>
          <w:rFonts w:ascii="仿宋" w:hAnsi="仿宋" w:cs="仿宋" w:eastAsia="仿宋"/>
        </w:rPr>
        <w:t>（一）抓标准化工作赋能。一方面持续开展标准化建设，不断完善服务标准，强化标准执行，将中心标准化建设与优化交易环境相结合，开展“主任走流程”、交易主体建言献策等活动，不断精简交易流程，提升交易质效，打造规范高效、惠企便民的平台。另一方面强化服务标准化水平，按照标准规范提供见证、专家抽取、档案等服务，同时定期开展科室业务学习研讨活动，及时领会新政策新要求，提升交易服务理论水平和实务能力。</w:t>
      </w:r>
      <w:r>
        <w:rPr>
          <w:rFonts w:ascii="仿宋" w:hAnsi="仿宋" w:cs="仿宋" w:eastAsia="仿宋"/>
        </w:rPr>
        <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hint="eastAsia" w:ascii="仿宋" w:hAnsi="仿宋" w:eastAsia="仿宋" w:cs="仿宋"/>
          <w:lang w:val="en-US"/>
        </w:rPr>
        <w:t/>
      </w:r>
      <w:r>
        <w:rPr>
          <w:rFonts w:ascii="仿宋" w:hAnsi="仿宋" w:cs="仿宋" w:eastAsia="仿宋"/>
        </w:rPr>
        <w:t>（二）抓数智化建设协同。一方面数据监测推动智能评标。投入使用数据监管平台，通过数据分析发现交易过程中的异常情况和违规行为，为监管部门提供线索和证据，提高监管效率和精准度。系统分析公共资源交易市场的运行情况，为政府部门的决策提供数据支持和参考。另一方面数字见证实现全程可溯。建设数字见证平台，建立公共资源交易全过程数字见证相关制度，实施项目交易全过程见证记录、见证存证和建档出证，实行“一项目一档案”，实现交易、服务、监管全程留痕、行为可溯、责任可究。</w:t>
      </w:r>
      <w:r>
        <w:rPr>
          <w:rFonts w:ascii="仿宋" w:hAnsi="仿宋" w:cs="仿宋" w:eastAsia="仿宋"/>
        </w:rPr>
        <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hint="eastAsia" w:ascii="仿宋" w:hAnsi="仿宋" w:eastAsia="仿宋" w:cs="仿宋"/>
          <w:lang w:val="en-US"/>
        </w:rPr>
        <w:t/>
      </w:r>
      <w:r>
        <w:rPr>
          <w:rFonts w:ascii="仿宋" w:hAnsi="仿宋" w:cs="仿宋" w:eastAsia="仿宋"/>
        </w:rPr>
        <w:t>（三）抓交易服务高效。一方面多措并举服务重大项目。为重大工程建设项目和时令性较强的政府采购项目进场交易开设“绿色通道”，通过标前优先服务、标中精细服务、标后回访服务等举措，助力区重大项目早开工、早投产、早达效。另一方面全力推进全流程电子化。对各类进场交易项目入场审批、公告发布、开评标日程场所安排、招标文件发布等环节全部线上办理，提高交易便利度，降低企业交易成本。</w:t>
      </w:r>
      <w:r>
        <w:rPr>
          <w:rFonts w:ascii="仿宋" w:hAnsi="仿宋" w:cs="仿宋" w:eastAsia="仿宋"/>
        </w:rPr>
        <w:t/>
      </w:r>
    </w:p>
    <w:p>
      <w:pPr>
        <w:pStyle w:val="8"/>
        <w:spacing w:line="235" w:lineRule="auto"/>
        <w:ind w:left="669" w:leftChars="300" w:right="2414" w:hanging="9" w:firstLineChars="0"/>
        <w:jc w:val="both"/>
        <w:rPr>
          <w:rFonts w:hint="eastAsia" w:ascii="仿宋" w:hAnsi="仿宋" w:eastAsia="仿宋" w:cs="仿宋"/>
        </w:rPr>
        <w:sectPr>
          <w:footerReference r:id="rId7" w:type="default"/>
          <w:pgSz w:w="11906" w:h="16838"/>
          <w:pgMar w:top="1580" w:right="1020" w:bottom="770" w:left="10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r>
        <w:rPr>
          <w:rFonts w:hint="eastAsia" w:ascii="仿宋" w:hAnsi="仿宋" w:eastAsia="仿宋" w:cs="仿宋"/>
          <w:b/>
          <w:bCs/>
          <w:sz w:val="44"/>
          <w:szCs w:val="44"/>
        </w:rPr>
        <w:t>第二部分</w:t>
      </w: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r>
        <w:rPr>
          <w:rFonts w:hint="eastAsia" w:ascii="仿宋" w:hAnsi="仿宋" w:eastAsia="仿宋" w:cs="仿宋"/>
          <w:b/>
          <w:bCs/>
          <w:sz w:val="44"/>
          <w:szCs w:val="44"/>
          <w:lang w:eastAsia="zh-CN"/>
        </w:rPr>
        <w:t>2025</w:t>
      </w:r>
      <w:r>
        <w:rPr>
          <w:rFonts w:hint="eastAsia" w:ascii="仿宋" w:hAnsi="仿宋" w:eastAsia="仿宋" w:cs="仿宋"/>
          <w:b/>
          <w:bCs/>
          <w:sz w:val="44"/>
          <w:szCs w:val="44"/>
        </w:rPr>
        <w:t>年度</w:t>
      </w: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r>
        <w:rPr>
          <w:rFonts w:hint="eastAsia" w:ascii="仿宋" w:hAnsi="仿宋" w:eastAsia="仿宋" w:cs="仿宋"/>
          <w:b/>
          <w:bCs/>
          <w:sz w:val="44"/>
          <w:szCs w:val="44"/>
          <w:u w:val="none"/>
        </w:rPr>
        <w:t>无锡市滨湖区公共资源交易中心</w:t>
      </w:r>
    </w:p>
    <w:p>
      <w:pPr>
        <w:pStyle w:val="21"/>
        <w:widowControl w:val="0"/>
        <w:tabs>
          <w:tab w:val="left" w:pos="1609"/>
        </w:tabs>
        <w:suppressAutoHyphens/>
        <w:bidi w:val="0"/>
        <w:spacing w:before="12" w:after="0" w:line="300" w:lineRule="auto"/>
        <w:ind w:left="340" w:right="567" w:firstLine="0"/>
        <w:jc w:val="center"/>
        <w:rPr>
          <w:rFonts w:ascii="宋体" w:hAnsi="宋体" w:eastAsia="宋体" w:cs="仿宋"/>
          <w:b/>
          <w:bCs/>
          <w:sz w:val="44"/>
          <w:szCs w:val="44"/>
        </w:rPr>
      </w:pPr>
      <w:r>
        <w:rPr>
          <w:rFonts w:hint="eastAsia" w:ascii="仿宋" w:hAnsi="仿宋" w:eastAsia="仿宋" w:cs="仿宋"/>
          <w:b/>
          <w:bCs/>
          <w:sz w:val="44"/>
          <w:szCs w:val="44"/>
          <w:lang w:val="en-US" w:eastAsia="zh-CN"/>
        </w:rPr>
        <w:t>部门</w:t>
      </w:r>
      <w:r>
        <w:rPr>
          <w:rFonts w:ascii="仿宋" w:hAnsi="仿宋" w:cs="仿宋" w:eastAsia="仿宋"/>
          <w:b w:val="true"/>
          <w:sz w:val="44"/>
        </w:rPr>
        <w:t>预算表</w:t>
      </w:r>
    </w:p>
    <w:tbl>
      <w:tblPr>
        <w:tblStyle w:val="12"/>
        <w:tblW w:w="11329" w:type="dxa"/>
        <w:jc w:val="center"/>
        <w:tblLayout w:type="fixed"/>
        <w:tblCellMar>
          <w:top w:w="0" w:type="dxa"/>
          <w:left w:w="108" w:type="dxa"/>
          <w:bottom w:w="0" w:type="dxa"/>
          <w:right w:w="108" w:type="dxa"/>
        </w:tblCellMar>
      </w:tblPr>
      <w:tblGrid>
        <w:gridCol w:w="3908"/>
        <w:gridCol w:w="1869"/>
        <w:gridCol w:w="3704"/>
        <w:gridCol w:w="67"/>
        <w:gridCol w:w="1781"/>
      </w:tblGrid>
      <w:tr>
        <w:tblPrEx>
          <w:tblCellMar>
            <w:top w:w="0" w:type="dxa"/>
            <w:left w:w="108" w:type="dxa"/>
            <w:bottom w:w="0" w:type="dxa"/>
            <w:right w:w="108" w:type="dxa"/>
          </w:tblCellMar>
        </w:tblPrEx>
        <w:trPr>
          <w:trHeight w:val="116" w:hRule="atLeast"/>
          <w:jc w:val="center"/>
        </w:trPr>
        <w:tc>
          <w:tcPr>
            <w:tcW w:w="11329" w:type="dxa"/>
            <w:gridSpan w:val="5"/>
            <w:vAlign w:val="center"/>
          </w:tcPr>
          <w:p>
            <w:pPr>
              <w:pageBreakBefore/>
              <w:widowControl w:val="0"/>
              <w:ind w:left="0" w:right="0" w:firstLine="0"/>
              <w:jc w:val="both"/>
              <w:textAlignment w:val="auto"/>
              <w:rPr>
                <w:rFonts w:hint="eastAsia" w:ascii="仿宋" w:hAnsi="仿宋" w:eastAsia="仿宋" w:cs="仿宋"/>
                <w:color w:val="000000"/>
                <w:sz w:val="22"/>
                <w:szCs w:val="22"/>
                <w:lang w:eastAsia="ar-SA"/>
              </w:rPr>
            </w:pPr>
            <w:r>
              <w:rPr>
                <w:rFonts w:hint="eastAsia" w:ascii="仿宋" w:hAnsi="仿宋" w:eastAsia="仿宋" w:cs="仿宋"/>
                <w:color w:val="000000"/>
                <w:sz w:val="22"/>
                <w:szCs w:val="22"/>
                <w:lang w:eastAsia="ar-SA"/>
              </w:rPr>
              <w:t>公开01表</w:t>
            </w:r>
          </w:p>
        </w:tc>
      </w:tr>
      <w:tr>
        <w:tblPrEx>
          <w:tblCellMar>
            <w:top w:w="0" w:type="dxa"/>
            <w:left w:w="108" w:type="dxa"/>
            <w:bottom w:w="0" w:type="dxa"/>
            <w:right w:w="108" w:type="dxa"/>
          </w:tblCellMar>
        </w:tblPrEx>
        <w:trPr>
          <w:trHeight w:val="348" w:hRule="atLeast"/>
          <w:jc w:val="center"/>
        </w:trPr>
        <w:tc>
          <w:tcPr>
            <w:tcW w:w="11329" w:type="dxa"/>
            <w:gridSpan w:val="5"/>
          </w:tcPr>
          <w:p>
            <w:pPr>
              <w:widowControl w:val="0"/>
              <w:ind w:left="0" w:right="0" w:firstLine="0"/>
              <w:jc w:val="center"/>
              <w:textAlignment w:val="auto"/>
              <w:rPr>
                <w:rFonts w:hint="eastAsia" w:ascii="仿宋" w:hAnsi="仿宋" w:eastAsia="仿宋" w:cs="仿宋"/>
                <w:color w:val="000000"/>
                <w:sz w:val="22"/>
              </w:rPr>
            </w:pPr>
            <w:r>
              <w:rPr>
                <w:rFonts w:hint="eastAsia" w:ascii="仿宋" w:hAnsi="仿宋" w:eastAsia="仿宋" w:cs="仿宋"/>
                <w:b/>
                <w:bCs/>
                <w:color w:val="000000"/>
                <w:sz w:val="44"/>
                <w:szCs w:val="44"/>
                <w:lang w:eastAsia="ar-SA"/>
              </w:rPr>
              <w:t>收支总表</w:t>
            </w:r>
          </w:p>
        </w:tc>
      </w:tr>
      <w:tr>
        <w:tblPrEx>
          <w:tblCellMar>
            <w:top w:w="0" w:type="dxa"/>
            <w:left w:w="108" w:type="dxa"/>
            <w:bottom w:w="0" w:type="dxa"/>
            <w:right w:w="108" w:type="dxa"/>
          </w:tblCellMar>
        </w:tblPrEx>
        <w:trPr>
          <w:trHeight w:val="333" w:hRule="atLeast"/>
          <w:jc w:val="center"/>
        </w:trPr>
        <w:tc>
          <w:tcPr>
            <w:tcW w:w="9481" w:type="dxa"/>
            <w:gridSpan w:val="3"/>
            <w:tcBorders>
              <w:bottom w:val="single" w:color="000000" w:sz="4" w:space="0"/>
            </w:tcBorders>
            <w:vAlign w:val="center"/>
          </w:tcPr>
          <w:p>
            <w:pPr>
              <w:widowControl w:val="0"/>
              <w:ind w:left="0" w:right="0" w:firstLine="0"/>
              <w:jc w:val="left"/>
              <w:textAlignment w:val="auto"/>
              <w:rPr>
                <w:rFonts w:hint="eastAsia" w:ascii="仿宋" w:hAnsi="仿宋" w:eastAsia="仿宋" w:cs="仿宋"/>
                <w:color w:val="000000"/>
                <w:sz w:val="22"/>
              </w:rPr>
            </w:pPr>
            <w:r>
              <w:rPr>
                <w:rFonts w:hint="eastAsia" w:ascii="仿宋" w:hAnsi="仿宋" w:eastAsia="仿宋" w:cs="仿宋"/>
                <w:color w:val="000000"/>
                <w:sz w:val="22"/>
                <w:szCs w:val="22"/>
                <w:lang w:eastAsia="zh-CN"/>
              </w:rPr>
              <w:t>部门</w:t>
            </w:r>
            <w:r>
              <w:rPr>
                <w:rFonts w:ascii="仿宋" w:hAnsi="仿宋" w:cs="仿宋" w:eastAsia="仿宋"/>
                <w:color w:val="000000"/>
                <w:sz w:val="22"/>
              </w:rPr>
              <w:t>：</w:t>
            </w:r>
            <w:r>
              <w:rPr>
                <w:rFonts w:hint="eastAsia" w:ascii="仿宋" w:hAnsi="仿宋" w:eastAsia="仿宋" w:cs="仿宋"/>
                <w:color w:val="000000"/>
                <w:sz w:val="22"/>
                <w:szCs w:val="22"/>
                <w:lang w:eastAsia="ar-SA"/>
              </w:rPr>
              <w:t>无锡市滨湖区公共资源交易中心</w:t>
            </w:r>
          </w:p>
        </w:tc>
        <w:tc>
          <w:tcPr>
            <w:tcW w:w="1848" w:type="dxa"/>
            <w:gridSpan w:val="2"/>
            <w:tcBorders>
              <w:bottom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rPr>
            </w:pPr>
            <w:r>
              <w:rPr>
                <w:rFonts w:hint="eastAsia" w:ascii="仿宋" w:hAnsi="仿宋" w:eastAsia="仿宋" w:cs="仿宋"/>
                <w:color w:val="000000"/>
                <w:sz w:val="22"/>
                <w:lang w:eastAsia="zh-CN"/>
              </w:rPr>
              <w:t>单位</w:t>
            </w:r>
            <w:r>
              <w:rPr>
                <w:rFonts w:hint="eastAsia" w:ascii="仿宋" w:hAnsi="仿宋" w:eastAsia="仿宋" w:cs="仿宋"/>
                <w:color w:val="000000"/>
                <w:sz w:val="22"/>
              </w:rPr>
              <w:t>：万元</w:t>
            </w:r>
          </w:p>
        </w:tc>
      </w:tr>
      <w:tr>
        <w:tblPrEx>
          <w:tblCellMar>
            <w:top w:w="0" w:type="dxa"/>
            <w:left w:w="108" w:type="dxa"/>
            <w:bottom w:w="0" w:type="dxa"/>
            <w:right w:w="108" w:type="dxa"/>
          </w:tblCellMar>
        </w:tblPrEx>
        <w:trPr>
          <w:trHeight w:val="204" w:hRule="atLeast"/>
          <w:jc w:val="center"/>
        </w:trPr>
        <w:tc>
          <w:tcPr>
            <w:tcW w:w="5777"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b/>
                <w:bCs/>
                <w:color w:val="000000"/>
                <w:sz w:val="22"/>
                <w:szCs w:val="22"/>
                <w:lang w:eastAsia="ar-SA"/>
              </w:rPr>
              <w:t>收入</w:t>
            </w:r>
          </w:p>
        </w:tc>
        <w:tc>
          <w:tcPr>
            <w:tcW w:w="5552" w:type="dxa"/>
            <w:gridSpan w:val="3"/>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b/>
                <w:bCs/>
                <w:color w:val="000000"/>
                <w:sz w:val="22"/>
                <w:szCs w:val="22"/>
                <w:lang w:eastAsia="ar-SA"/>
              </w:rPr>
              <w:t>支出</w:t>
            </w:r>
          </w:p>
        </w:tc>
      </w:tr>
      <w:tr>
        <w:tblPrEx>
          <w:tblCellMar>
            <w:top w:w="0" w:type="dxa"/>
            <w:left w:w="108" w:type="dxa"/>
            <w:bottom w:w="0" w:type="dxa"/>
            <w:right w:w="108" w:type="dxa"/>
          </w:tblCellMar>
        </w:tblPrEx>
        <w:trPr>
          <w:trHeight w:val="319"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
            </w:r>
            <w:r>
              <w:rPr>
                <w:rFonts w:hint="eastAsia" w:ascii="仿宋" w:hAnsi="仿宋" w:eastAsia="仿宋" w:cs="仿宋"/>
                <w:b/>
                <w:bCs/>
                <w:color w:val="000000"/>
                <w:sz w:val="22"/>
                <w:szCs w:val="22"/>
                <w:lang w:eastAsia="ar-SA"/>
              </w:rPr>
              <w:t>项目</w:t>
            </w:r>
          </w:p>
        </w:tc>
        <w:tc>
          <w:tcPr>
            <w:tcW w:w="1869"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b/>
                <w:bCs/>
                <w:color w:val="000000"/>
                <w:sz w:val="22"/>
                <w:szCs w:val="22"/>
              </w:rPr>
            </w:pPr>
            <w:r>
              <w:rPr>
                <w:rFonts w:hint="eastAsia" w:ascii="仿宋" w:hAnsi="仿宋" w:eastAsia="仿宋" w:cs="仿宋"/>
                <w:b/>
                <w:bCs/>
                <w:color w:val="000000"/>
                <w:sz w:val="22"/>
                <w:szCs w:val="22"/>
                <w:lang w:eastAsia="zh-CN"/>
              </w:rPr>
              <w:t>预算</w:t>
            </w:r>
            <w:r>
              <w:rPr>
                <w:rFonts w:hint="eastAsia" w:ascii="仿宋" w:hAnsi="仿宋" w:eastAsia="仿宋" w:cs="仿宋"/>
                <w:b/>
                <w:bCs/>
                <w:color w:val="000000"/>
                <w:sz w:val="22"/>
                <w:szCs w:val="22"/>
                <w:lang w:eastAsia="ar-SA"/>
              </w:rPr>
              <w:t>数</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b/>
                <w:bCs/>
                <w:color w:val="000000"/>
                <w:sz w:val="22"/>
                <w:szCs w:val="22"/>
              </w:rPr>
            </w:pPr>
            <w:r>
              <w:rPr>
                <w:rFonts w:hint="eastAsia" w:ascii="仿宋" w:hAnsi="仿宋" w:eastAsia="仿宋" w:cs="仿宋"/>
                <w:b/>
                <w:bCs/>
                <w:color w:val="000000"/>
                <w:sz w:val="22"/>
                <w:szCs w:val="22"/>
                <w:lang w:eastAsia="ar-SA"/>
              </w:rPr>
              <w:t>项目</w:t>
            </w:r>
          </w:p>
        </w:tc>
        <w:tc>
          <w:tcPr>
            <w:tcW w:w="178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b/>
                <w:bCs/>
                <w:color w:val="000000"/>
                <w:sz w:val="22"/>
                <w:szCs w:val="22"/>
              </w:rPr>
            </w:pPr>
            <w:r>
              <w:rPr>
                <w:rFonts w:hint="eastAsia" w:ascii="仿宋" w:hAnsi="仿宋" w:eastAsia="仿宋" w:cs="仿宋"/>
                <w:b/>
                <w:bCs/>
                <w:color w:val="000000"/>
                <w:sz w:val="22"/>
                <w:szCs w:val="22"/>
                <w:lang w:eastAsia="zh-CN"/>
              </w:rPr>
              <w:t>预算</w:t>
            </w:r>
            <w:r>
              <w:rPr>
                <w:rFonts w:hint="eastAsia" w:ascii="仿宋" w:hAnsi="仿宋" w:eastAsia="仿宋" w:cs="仿宋"/>
                <w:b/>
                <w:bCs/>
                <w:color w:val="000000"/>
                <w:sz w:val="22"/>
                <w:szCs w:val="22"/>
                <w:lang w:eastAsia="ar-SA"/>
              </w:rPr>
              <w:t>数</w:t>
            </w:r>
          </w:p>
        </w:tc>
      </w:tr>
      <w:tr>
        <w:tblPrEx>
          <w:tblCellMar>
            <w:top w:w="0" w:type="dxa"/>
            <w:left w:w="108" w:type="dxa"/>
            <w:bottom w:w="0" w:type="dxa"/>
            <w:right w:w="108" w:type="dxa"/>
          </w:tblCellMar>
        </w:tblPrEx>
        <w:trPr>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一、一般公共预算拨款收入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886.17</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一、一般公共服务支出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441.83</w:t>
            </w:r>
          </w:p>
        </w:tc>
      </w:tr>
      <w:tr>
        <w:tblPrEx>
          <w:tblCellMar>
            <w:top w:w="0" w:type="dxa"/>
            <w:left w:w="108" w:type="dxa"/>
            <w:bottom w:w="0" w:type="dxa"/>
            <w:right w:w="108" w:type="dxa"/>
          </w:tblCellMar>
        </w:tblPrEx>
        <w:trPr>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二、政府性基金预算拨款收入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二、外交支出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三、国有资本经营预算拨款收入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三、国防支出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四、财政专户管理资金收入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四、公共安全支出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五、事业收入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五、教育支出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六、事业单位经营收入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六、科学技术支出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七、上级补助收入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七、文化旅游体育与传媒支出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八、附属单位上缴收入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八、社会保障和就业支出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60.06</w:t>
            </w:r>
          </w:p>
        </w:tc>
      </w:tr>
      <w:tr>
        <w:tblPrEx>
          <w:tblCellMar>
            <w:top w:w="0" w:type="dxa"/>
            <w:left w:w="108" w:type="dxa"/>
            <w:bottom w:w="0" w:type="dxa"/>
            <w:right w:w="108" w:type="dxa"/>
          </w:tblCellMar>
        </w:tblPrEx>
        <w:trPr>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九、其他收入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九、社会保险基金支出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十、卫生健康支出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19.68</w:t>
            </w:r>
          </w:p>
        </w:tc>
      </w:tr>
      <w:tr>
        <w:tblPrEx>
          <w:tblCellMar>
            <w:top w:w="0" w:type="dxa"/>
            <w:left w:w="108" w:type="dxa"/>
            <w:bottom w:w="0" w:type="dxa"/>
            <w:right w:w="108" w:type="dxa"/>
          </w:tblCellMar>
        </w:tblPrEx>
        <w:trPr>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十一、节能环保支出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十二、城乡社区支出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十三、农林水支出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十四、交通运输支出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十五、资源勘探工业信息等支出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225.00</w:t>
            </w:r>
          </w:p>
        </w:tc>
      </w:tr>
      <w:tr>
        <w:tblPrEx>
          <w:tblCellMar>
            <w:top w:w="0" w:type="dxa"/>
            <w:left w:w="108" w:type="dxa"/>
            <w:bottom w:w="0" w:type="dxa"/>
            <w:right w:w="108" w:type="dxa"/>
          </w:tblCellMar>
        </w:tblPrEx>
        <w:trPr>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十六、商业服务业等支出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十七、金融支出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 xml:space="preserve">十八、援助其他地区支出 </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十九、自然资源海洋气象等支出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二十、住房保障支出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139.60</w:t>
            </w:r>
          </w:p>
        </w:tc>
      </w:tr>
      <w:tr>
        <w:tblPrEx>
          <w:tblCellMar>
            <w:top w:w="0" w:type="dxa"/>
            <w:left w:w="108" w:type="dxa"/>
            <w:bottom w:w="0" w:type="dxa"/>
            <w:right w:w="108" w:type="dxa"/>
          </w:tblCellMar>
        </w:tblPrEx>
        <w:trPr>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二十一、粮油物资储备支出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二十二、国有资本经营预算支出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二十三、灾害防治及应急管理支出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二十四、预备费</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二十五、其他支出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二十六、转移性支出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二十七、债务还本支出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二十八、债务付息支出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二十九、债务发行费用支出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三十、抗疫特别国债安排的支出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trHeight w:val="299" w:hRule="exac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b/>
                <w:bCs/>
                <w:color w:val="000000"/>
                <w:sz w:val="22"/>
                <w:szCs w:val="22"/>
                <w:lang w:eastAsia="ar-SA"/>
              </w:rPr>
              <w:t>本年收入合计</w:t>
            </w:r>
          </w:p>
        </w:tc>
        <w:tc>
          <w:tcPr>
            <w:tcW w:w="1869"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b/>
                <w:bCs/>
                <w:color w:val="000000"/>
                <w:sz w:val="22"/>
                <w:szCs w:val="22"/>
                <w:lang w:val="en-US" w:eastAsia="zh-CN"/>
              </w:rPr>
            </w:pPr>
            <w:r>
              <w:rPr>
                <w:rFonts w:hint="eastAsia" w:ascii="仿宋" w:hAnsi="仿宋" w:eastAsia="仿宋" w:cs="仿宋"/>
                <w:b/>
                <w:bCs/>
                <w:color w:val="000000"/>
                <w:sz w:val="22"/>
                <w:szCs w:val="22"/>
                <w:lang w:val="en-US" w:eastAsia="zh-CN"/>
              </w:rPr>
              <w:t>886.17</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b/>
                <w:bCs/>
                <w:color w:val="000000"/>
                <w:sz w:val="22"/>
                <w:szCs w:val="22"/>
                <w:lang w:eastAsia="ar-SA"/>
              </w:rPr>
            </w:pPr>
            <w:r>
              <w:rPr>
                <w:rFonts w:hint="eastAsia" w:ascii="仿宋" w:hAnsi="仿宋" w:eastAsia="仿宋" w:cs="仿宋"/>
                <w:b/>
                <w:bCs/>
                <w:color w:val="000000"/>
                <w:sz w:val="22"/>
                <w:szCs w:val="22"/>
                <w:lang w:eastAsia="ar-SA"/>
              </w:rPr>
              <w:t>本年支出合计</w:t>
            </w:r>
          </w:p>
        </w:tc>
        <w:tc>
          <w:tcPr>
            <w:tcW w:w="178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b/>
                <w:bCs/>
                <w:color w:val="000000"/>
                <w:sz w:val="22"/>
                <w:szCs w:val="22"/>
                <w:lang w:val="en-US" w:eastAsia="zh-CN"/>
              </w:rPr>
            </w:pPr>
            <w:r>
              <w:rPr>
                <w:rFonts w:hint="eastAsia" w:ascii="仿宋" w:hAnsi="仿宋" w:eastAsia="仿宋" w:cs="仿宋"/>
                <w:b/>
                <w:bCs/>
                <w:color w:val="000000"/>
                <w:sz w:val="22"/>
                <w:szCs w:val="22"/>
                <w:lang w:val="en-US" w:eastAsia="zh-CN"/>
              </w:rPr>
              <w:t>886.17</w:t>
            </w:r>
          </w:p>
        </w:tc>
      </w:tr>
      <w:tr>
        <w:tblPrEx>
          <w:tblCellMar>
            <w:top w:w="0" w:type="dxa"/>
            <w:left w:w="108" w:type="dxa"/>
            <w:bottom w:w="0" w:type="dxa"/>
            <w:right w:w="108" w:type="dxa"/>
          </w:tblCellMar>
        </w:tblPrEx>
        <w:trPr>
          <w:trHeight w:val="192"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default" w:ascii="仿宋" w:hAnsi="仿宋" w:eastAsia="仿宋" w:cs="仿宋"/>
                <w:color w:val="000000"/>
                <w:sz w:val="22"/>
                <w:szCs w:val="22"/>
                <w:lang w:val="en-US" w:eastAsia="zh-CN"/>
              </w:rPr>
            </w:pPr>
            <w:r>
              <w:rPr>
                <w:rFonts w:hint="eastAsia" w:ascii="仿宋" w:hAnsi="仿宋" w:eastAsia="仿宋" w:cs="仿宋"/>
                <w:b/>
                <w:bCs/>
                <w:color w:val="000000"/>
                <w:sz w:val="22"/>
                <w:szCs w:val="22"/>
                <w:lang w:val="en-US" w:eastAsia="zh-CN"/>
              </w:rPr>
              <w:t>上年结转结余</w:t>
            </w:r>
          </w:p>
        </w:tc>
        <w:tc>
          <w:tcPr>
            <w:tcW w:w="1869"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b/>
                <w:bCs/>
                <w:color w:val="000000"/>
                <w:sz w:val="22"/>
                <w:szCs w:val="22"/>
                <w:lang w:val="zh-CN" w:eastAsia="ar-SA"/>
              </w:rPr>
            </w:pPr>
            <w:r>
              <w:rPr>
                <w:rFonts w:hint="eastAsia" w:ascii="仿宋" w:hAnsi="仿宋" w:eastAsia="仿宋" w:cs="仿宋"/>
                <w:b/>
                <w:bCs/>
                <w:color w:val="000000"/>
                <w:sz w:val="22"/>
                <w:szCs w:val="22"/>
                <w:lang w:val="zh-CN" w:eastAsia="ar-SA"/>
              </w:rPr>
              <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default" w:ascii="仿宋" w:hAnsi="仿宋" w:eastAsia="仿宋" w:cs="仿宋"/>
                <w:b/>
                <w:bCs/>
                <w:color w:val="000000"/>
                <w:sz w:val="22"/>
                <w:szCs w:val="22"/>
                <w:lang w:val="en-US" w:eastAsia="zh-CN"/>
              </w:rPr>
            </w:pPr>
            <w:r>
              <w:rPr>
                <w:rFonts w:hint="eastAsia" w:ascii="仿宋" w:hAnsi="仿宋" w:eastAsia="仿宋" w:cs="仿宋"/>
                <w:b/>
                <w:bCs/>
                <w:color w:val="000000"/>
                <w:sz w:val="22"/>
                <w:szCs w:val="22"/>
                <w:lang w:val="en-US" w:eastAsia="zh-CN"/>
              </w:rPr>
              <w:t>年终结转结余</w:t>
            </w:r>
          </w:p>
        </w:tc>
        <w:tc>
          <w:tcPr>
            <w:tcW w:w="178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b/>
                <w:bCs/>
                <w:color w:val="000000"/>
                <w:sz w:val="22"/>
                <w:szCs w:val="22"/>
                <w:lang w:val="en-US" w:eastAsia="zh-CN"/>
              </w:rPr>
            </w:pPr>
            <w:r>
              <w:rPr>
                <w:rFonts w:hint="eastAsia" w:ascii="仿宋" w:hAnsi="仿宋" w:eastAsia="仿宋" w:cs="仿宋"/>
                <w:b/>
                <w:bCs/>
                <w:color w:val="000000"/>
                <w:sz w:val="22"/>
                <w:szCs w:val="22"/>
                <w:lang w:val="en-US" w:eastAsia="zh-CN"/>
              </w:rPr>
              <w:t/>
            </w:r>
          </w:p>
        </w:tc>
      </w:tr>
      <w:tr>
        <w:tblPrEx>
          <w:tblCellMar>
            <w:top w:w="0" w:type="dxa"/>
            <w:left w:w="108" w:type="dxa"/>
            <w:bottom w:w="0" w:type="dxa"/>
            <w:right w:w="108" w:type="dxa"/>
          </w:tblCellMar>
        </w:tblPrEx>
        <w:trPr>
          <w:cantSplit/>
          <w:trHeight w:val="289" w:hRule="exac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b/>
                <w:color w:val="000000"/>
                <w:sz w:val="22"/>
                <w:szCs w:val="22"/>
                <w:lang w:val="en-US" w:eastAsia="zh-CN"/>
              </w:rPr>
              <w:t>收入</w:t>
            </w:r>
            <w:r>
              <w:rPr>
                <w:rFonts w:hint="eastAsia" w:ascii="仿宋" w:hAnsi="仿宋" w:eastAsia="仿宋" w:cs="仿宋"/>
                <w:b/>
                <w:color w:val="000000"/>
                <w:sz w:val="22"/>
                <w:szCs w:val="22"/>
                <w:lang w:eastAsia="ar-SA"/>
              </w:rPr>
              <w:t>总计</w:t>
            </w:r>
          </w:p>
        </w:tc>
        <w:tc>
          <w:tcPr>
            <w:tcW w:w="1869"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b/>
                <w:bCs/>
                <w:color w:val="000000"/>
                <w:sz w:val="22"/>
                <w:szCs w:val="22"/>
                <w:lang w:val="en-US" w:eastAsia="ar-SA"/>
              </w:rPr>
            </w:pPr>
            <w:r>
              <w:rPr>
                <w:rFonts w:hint="eastAsia" w:ascii="仿宋" w:hAnsi="仿宋" w:eastAsia="仿宋" w:cs="仿宋"/>
                <w:b/>
                <w:bCs/>
                <w:color w:val="000000"/>
                <w:sz w:val="22"/>
                <w:szCs w:val="22"/>
                <w:lang w:val="en-US" w:eastAsia="zh-CN"/>
              </w:rPr>
              <w:t>886.17</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b/>
                <w:bCs/>
                <w:color w:val="000000"/>
                <w:sz w:val="22"/>
                <w:szCs w:val="22"/>
                <w:lang w:eastAsia="ar-SA"/>
              </w:rPr>
            </w:pPr>
            <w:r>
              <w:rPr>
                <w:rFonts w:hint="eastAsia" w:ascii="仿宋" w:hAnsi="仿宋" w:eastAsia="仿宋" w:cs="仿宋"/>
                <w:b/>
                <w:bCs/>
                <w:color w:val="000000"/>
                <w:sz w:val="22"/>
                <w:szCs w:val="22"/>
                <w:lang w:val="en-US" w:eastAsia="zh-CN"/>
              </w:rPr>
              <w:t>支出</w:t>
            </w:r>
            <w:r>
              <w:rPr>
                <w:rFonts w:hint="eastAsia" w:ascii="仿宋" w:hAnsi="仿宋" w:eastAsia="仿宋" w:cs="仿宋"/>
                <w:b/>
                <w:bCs/>
                <w:color w:val="000000"/>
                <w:sz w:val="22"/>
                <w:szCs w:val="22"/>
                <w:lang w:eastAsia="ar-SA"/>
              </w:rPr>
              <w:t>总计</w:t>
            </w:r>
          </w:p>
        </w:tc>
        <w:tc>
          <w:tcPr>
            <w:tcW w:w="178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b/>
                <w:bCs/>
                <w:color w:val="000000"/>
                <w:sz w:val="22"/>
                <w:szCs w:val="22"/>
                <w:lang w:val="en-US" w:eastAsia="zh-CN"/>
              </w:rPr>
            </w:pPr>
            <w:r>
              <w:rPr>
                <w:rFonts w:hint="eastAsia" w:ascii="仿宋" w:hAnsi="仿宋" w:eastAsia="仿宋" w:cs="仿宋"/>
                <w:b/>
                <w:bCs/>
                <w:color w:val="000000"/>
                <w:sz w:val="22"/>
                <w:szCs w:val="22"/>
                <w:lang w:val="en-US" w:eastAsia="zh-CN"/>
              </w:rPr>
              <w:t>886.17</w:t>
            </w:r>
          </w:p>
        </w:tc>
      </w:tr>
    </w:tbl>
    <w:p>
      <w:pPr>
        <w:widowControl w:val="0"/>
        <w:suppressAutoHyphens/>
        <w:bidi w:val="0"/>
        <w:spacing w:before="66" w:after="0"/>
        <w:ind w:right="0"/>
        <w:jc w:val="left"/>
        <w:rPr>
          <w:rFonts w:hint="eastAsia" w:ascii="仿宋" w:hAnsi="仿宋" w:eastAsia="仿宋" w:cs="仿宋"/>
          <w:b/>
          <w:bCs/>
          <w:color w:val="000000"/>
          <w:sz w:val="22"/>
          <w:szCs w:val="22"/>
        </w:rPr>
        <w:sectPr>
          <w:footerReference r:id="rId8" w:type="default"/>
          <w:pgSz w:w="11906" w:h="16838"/>
          <w:pgMar w:top="1580" w:right="700" w:bottom="770" w:left="697"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6703" w:type="dxa"/>
        <w:tblInd w:w="15"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fixed"/>
        <w:tblCellMar>
          <w:top w:w="15" w:type="dxa"/>
          <w:left w:w="15" w:type="dxa"/>
          <w:bottom w:w="15" w:type="dxa"/>
          <w:right w:w="15" w:type="dxa"/>
        </w:tblCellMar>
      </w:tblPr>
      <w:tblGrid>
        <w:gridCol w:w="824"/>
        <w:gridCol w:w="1801"/>
        <w:gridCol w:w="976"/>
        <w:gridCol w:w="998"/>
        <w:gridCol w:w="999"/>
        <w:gridCol w:w="749"/>
        <w:gridCol w:w="681"/>
        <w:gridCol w:w="972"/>
        <w:gridCol w:w="983"/>
        <w:gridCol w:w="811"/>
        <w:gridCol w:w="674"/>
        <w:gridCol w:w="686"/>
        <w:gridCol w:w="834"/>
        <w:gridCol w:w="823"/>
        <w:gridCol w:w="823"/>
        <w:gridCol w:w="834"/>
        <w:gridCol w:w="553"/>
        <w:gridCol w:w="822"/>
        <w:gridCol w:w="86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c>
          <w:tcPr>
            <w:tcW w:w="16703" w:type="dxa"/>
            <w:gridSpan w:val="19"/>
            <w:tcBorders>
              <w:top w:val="nil"/>
              <w:left w:val="nil"/>
              <w:bottom w:val="nil"/>
              <w:right w:val="nil"/>
            </w:tcBorders>
            <w:shd w:val="clear" w:color="auto" w:fill="FFFFFF"/>
            <w:tcMar>
              <w:top w:w="0" w:type="dxa"/>
              <w:left w:w="0" w:type="dxa"/>
              <w:bottom w:w="0" w:type="dxa"/>
              <w:right w:w="0" w:type="dxa"/>
            </w:tcMar>
            <w:vAlign w:val="center"/>
          </w:tcPr>
          <w:p>
            <w:pPr>
              <w:pStyle w:val="22"/>
              <w:widowControl w:val="0"/>
              <w:jc w:val="left"/>
              <w:rPr>
                <w:rFonts w:hint="eastAsia" w:ascii="仿宋" w:hAnsi="仿宋" w:eastAsia="仿宋" w:cs="仿宋"/>
                <w:lang w:val="en-US" w:eastAsia="zh-CN"/>
              </w:rPr>
            </w:pPr>
            <w:r>
              <w:rPr>
                <w:rFonts w:hint="eastAsia" w:ascii="仿宋" w:hAnsi="仿宋" w:eastAsia="仿宋" w:cs="仿宋"/>
              </w:rPr>
              <w:t>公开02表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c>
          <w:tcPr>
            <w:tcW w:w="16703" w:type="dxa"/>
            <w:gridSpan w:val="19"/>
            <w:tcBorders>
              <w:top w:val="nil"/>
              <w:left w:val="nil"/>
              <w:bottom w:val="nil"/>
              <w:right w:val="nil"/>
            </w:tcBorders>
            <w:shd w:val="clear" w:color="auto" w:fill="FFFFFF"/>
            <w:tcMar>
              <w:top w:w="0" w:type="dxa"/>
              <w:left w:w="0" w:type="dxa"/>
              <w:bottom w:w="0" w:type="dxa"/>
              <w:right w:w="0" w:type="dxa"/>
            </w:tcMar>
            <w:vAlign w:val="center"/>
          </w:tcPr>
          <w:p>
            <w:pPr>
              <w:pStyle w:val="22"/>
              <w:widowControl w:val="0"/>
              <w:jc w:val="center"/>
              <w:rPr>
                <w:rFonts w:hint="eastAsia" w:ascii="仿宋" w:hAnsi="仿宋" w:eastAsia="仿宋" w:cs="仿宋"/>
                <w:lang w:val="en-US" w:eastAsia="zh-CN"/>
              </w:rPr>
            </w:pPr>
            <w:r>
              <w:rPr>
                <w:rFonts w:hint="eastAsia" w:ascii="仿宋" w:hAnsi="仿宋" w:eastAsia="仿宋" w:cs="仿宋"/>
                <w:b/>
                <w:bCs/>
                <w:sz w:val="44"/>
                <w:szCs w:val="44"/>
              </w:rPr>
              <w:t>收入</w:t>
            </w:r>
            <w:r>
              <w:rPr>
                <w:rFonts w:hint="eastAsia" w:ascii="仿宋" w:hAnsi="仿宋" w:eastAsia="仿宋" w:cs="仿宋"/>
                <w:b/>
                <w:bCs/>
                <w:sz w:val="44"/>
                <w:szCs w:val="44"/>
                <w:lang w:val="en-US" w:eastAsia="zh-CN"/>
              </w:rPr>
              <w:t>总</w:t>
            </w:r>
            <w:r>
              <w:rPr>
                <w:rFonts w:hint="eastAsia" w:ascii="仿宋" w:hAnsi="仿宋" w:eastAsia="仿宋" w:cs="仿宋"/>
                <w:b/>
                <w:bCs/>
                <w:sz w:val="44"/>
                <w:szCs w:val="44"/>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c>
          <w:tcPr>
            <w:tcW w:w="11988" w:type="dxa"/>
            <w:gridSpan w:val="13"/>
            <w:tcBorders>
              <w:top w:val="nil"/>
              <w:left w:val="nil"/>
              <w:bottom w:val="single" w:color="auto" w:sz="4" w:space="0"/>
              <w:right w:val="nil"/>
            </w:tcBorders>
            <w:shd w:val="clear" w:color="auto" w:fill="FFFFFF"/>
            <w:tcMar>
              <w:top w:w="0" w:type="dxa"/>
              <w:left w:w="0" w:type="dxa"/>
              <w:bottom w:w="0" w:type="dxa"/>
              <w:right w:w="0" w:type="dxa"/>
            </w:tcMar>
            <w:vAlign w:val="center"/>
          </w:tcPr>
          <w:p>
            <w:pPr>
              <w:pStyle w:val="22"/>
              <w:widowControl w:val="0"/>
              <w:jc w:val="both"/>
              <w:rPr>
                <w:rFonts w:hint="eastAsia" w:ascii="仿宋" w:hAnsi="仿宋" w:eastAsia="仿宋" w:cs="仿宋"/>
                <w:lang w:val="en-US" w:eastAsia="zh-CN"/>
              </w:rPr>
            </w:pPr>
            <w:r>
              <w:rPr>
                <w:rFonts w:hint="eastAsia" w:ascii="仿宋" w:hAnsi="仿宋" w:eastAsia="仿宋" w:cs="仿宋"/>
                <w:color w:val="000000"/>
                <w:sz w:val="22"/>
                <w:szCs w:val="22"/>
                <w:lang w:eastAsia="zh-CN"/>
              </w:rPr>
              <w:t>部门</w:t>
            </w:r>
            <w:r>
              <w:rPr>
                <w:rFonts w:ascii="仿宋" w:hAnsi="仿宋" w:cs="仿宋" w:eastAsia="仿宋"/>
                <w:color w:val="000000"/>
                <w:sz w:val="22"/>
              </w:rPr>
              <w:t>：</w:t>
            </w:r>
            <w:r>
              <w:rPr>
                <w:rFonts w:hint="eastAsia" w:ascii="仿宋" w:hAnsi="仿宋" w:eastAsia="仿宋" w:cs="仿宋"/>
              </w:rPr>
              <w:t>无锡市滨湖区公共资源交易中心</w:t>
            </w:r>
          </w:p>
        </w:tc>
        <w:tc>
          <w:tcPr>
            <w:tcW w:w="4715" w:type="dxa"/>
            <w:gridSpan w:val="6"/>
            <w:tcBorders>
              <w:top w:val="nil"/>
              <w:left w:val="nil"/>
              <w:bottom w:val="single" w:color="auto" w:sz="4" w:space="0"/>
              <w:right w:val="nil"/>
            </w:tcBorders>
            <w:shd w:val="clear" w:color="auto" w:fill="FFFFFF"/>
            <w:tcMar>
              <w:top w:w="0" w:type="dxa"/>
              <w:left w:w="0" w:type="dxa"/>
              <w:bottom w:w="0" w:type="dxa"/>
              <w:right w:w="0" w:type="dxa"/>
            </w:tcMar>
            <w:vAlign w:val="center"/>
          </w:tcPr>
          <w:p>
            <w:pPr>
              <w:pStyle w:val="22"/>
              <w:widowControl w:val="0"/>
              <w:jc w:val="right"/>
              <w:rPr>
                <w:rFonts w:hint="eastAsia" w:ascii="仿宋" w:hAnsi="仿宋" w:eastAsia="仿宋" w:cs="仿宋"/>
                <w:lang w:val="en-US" w:eastAsia="zh-CN"/>
              </w:rPr>
            </w:pPr>
            <w:r>
              <w:rPr>
                <w:rFonts w:hint="eastAsia" w:ascii="仿宋" w:hAnsi="仿宋" w:eastAsia="仿宋" w:cs="仿宋"/>
                <w:lang w:eastAsia="zh-CN"/>
              </w:rPr>
              <w:t>单位</w:t>
            </w:r>
            <w:r>
              <w:rPr>
                <w:rFonts w:hint="eastAsia" w:ascii="仿宋" w:hAnsi="仿宋" w:eastAsia="仿宋" w:cs="仿宋"/>
              </w:rPr>
              <w:t>：万元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c>
          <w:tcPr>
            <w:tcW w:w="824" w:type="dxa"/>
            <w:vMerge w:val="restart"/>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21"/>
                <w:szCs w:val="21"/>
              </w:rPr>
            </w:pPr>
            <w:r>
              <w:rPr>
                <w:rFonts w:hint="eastAsia" w:ascii="仿宋" w:hAnsi="仿宋" w:eastAsia="仿宋" w:cs="仿宋"/>
                <w:color w:val="000000"/>
                <w:sz w:val="22"/>
                <w:szCs w:val="22"/>
                <w:lang w:eastAsia="zh-CN"/>
              </w:rPr>
              <w:t>部门</w:t>
            </w:r>
            <w:r>
              <w:rPr>
                <w:rFonts w:hint="eastAsia" w:ascii="仿宋" w:hAnsi="仿宋" w:eastAsia="仿宋" w:cs="仿宋"/>
                <w:sz w:val="21"/>
                <w:szCs w:val="21"/>
                <w:lang w:val="en-US" w:eastAsia="zh-CN"/>
              </w:rPr>
              <w:t>代码</w:t>
            </w:r>
          </w:p>
        </w:tc>
        <w:tc>
          <w:tcPr>
            <w:tcW w:w="1801" w:type="dxa"/>
            <w:vMerge w:val="restart"/>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21"/>
                <w:szCs w:val="21"/>
              </w:rPr>
            </w:pPr>
            <w:r>
              <w:rPr>
                <w:rFonts w:hint="eastAsia" w:ascii="仿宋" w:hAnsi="仿宋" w:eastAsia="仿宋" w:cs="仿宋"/>
                <w:color w:val="000000"/>
                <w:sz w:val="22"/>
                <w:szCs w:val="22"/>
                <w:lang w:eastAsia="zh-CN"/>
              </w:rPr>
              <w:t>部门</w:t>
            </w:r>
            <w:r>
              <w:rPr>
                <w:rFonts w:hint="eastAsia" w:ascii="仿宋" w:hAnsi="仿宋" w:eastAsia="仿宋" w:cs="仿宋"/>
                <w:sz w:val="21"/>
                <w:szCs w:val="21"/>
                <w:lang w:val="en-US" w:eastAsia="zh-CN"/>
              </w:rPr>
              <w:t>名称</w:t>
            </w:r>
          </w:p>
        </w:tc>
        <w:tc>
          <w:tcPr>
            <w:tcW w:w="976" w:type="dxa"/>
            <w:vMerge w:val="restart"/>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21"/>
                <w:szCs w:val="21"/>
              </w:rPr>
            </w:pPr>
            <w:r>
              <w:rPr>
                <w:rFonts w:hint="eastAsia" w:ascii="仿宋" w:hAnsi="仿宋" w:eastAsia="仿宋" w:cs="仿宋"/>
                <w:sz w:val="21"/>
                <w:szCs w:val="21"/>
                <w:lang w:val="en-US" w:eastAsia="zh-CN"/>
              </w:rPr>
              <w:t>合计</w:t>
            </w:r>
          </w:p>
        </w:tc>
        <w:tc>
          <w:tcPr>
            <w:tcW w:w="8387" w:type="dxa"/>
            <w:gridSpan w:val="10"/>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rPr>
            </w:pPr>
            <w:r>
              <w:rPr>
                <w:rFonts w:hint="eastAsia" w:ascii="仿宋" w:hAnsi="仿宋" w:eastAsia="仿宋" w:cs="仿宋"/>
                <w:lang w:val="en-US" w:eastAsia="zh-CN"/>
              </w:rPr>
              <w:t>本年收入</w:t>
            </w:r>
          </w:p>
        </w:tc>
        <w:tc>
          <w:tcPr>
            <w:tcW w:w="4715" w:type="dxa"/>
            <w:gridSpan w:val="6"/>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rPr>
            </w:pPr>
            <w:r>
              <w:rPr>
                <w:rFonts w:hint="eastAsia" w:ascii="仿宋" w:hAnsi="仿宋" w:eastAsia="仿宋" w:cs="仿宋"/>
                <w:lang w:val="en-US" w:eastAsia="zh-CN"/>
              </w:rPr>
              <w:t>上年结转结余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rHeight w:val="484" w:hRule="atLeast"/>
        </w:trPr>
        <w:tc>
          <w:tcPr>
            <w:tcW w:w="824" w:type="dxa"/>
            <w:vMerge w:val="continue"/>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rPr>
            </w:pPr>
          </w:p>
        </w:tc>
        <w:tc>
          <w:tcPr>
            <w:tcW w:w="1801" w:type="dxa"/>
            <w:vMerge w:val="continue"/>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rPr>
            </w:pPr>
          </w:p>
        </w:tc>
        <w:tc>
          <w:tcPr>
            <w:tcW w:w="976" w:type="dxa"/>
            <w:vMerge w:val="continue"/>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rPr>
            </w:pPr>
          </w:p>
        </w:tc>
        <w:tc>
          <w:tcPr>
            <w:tcW w:w="998"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小计</w:t>
            </w:r>
          </w:p>
        </w:tc>
        <w:tc>
          <w:tcPr>
            <w:tcW w:w="999"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一般公共预算</w:t>
            </w:r>
          </w:p>
        </w:tc>
        <w:tc>
          <w:tcPr>
            <w:tcW w:w="749"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政府性基金预算</w:t>
            </w:r>
          </w:p>
        </w:tc>
        <w:tc>
          <w:tcPr>
            <w:tcW w:w="68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国有资本经营预算</w:t>
            </w:r>
          </w:p>
        </w:tc>
        <w:tc>
          <w:tcPr>
            <w:tcW w:w="97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财政专户管理资金</w:t>
            </w:r>
          </w:p>
        </w:tc>
        <w:tc>
          <w:tcPr>
            <w:tcW w:w="98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lang w:val="en-US" w:eastAsia="zh-CN"/>
              </w:rPr>
            </w:pPr>
            <w:r>
              <w:rPr>
                <w:rFonts w:hint="eastAsia" w:ascii="仿宋" w:hAnsi="仿宋" w:eastAsia="仿宋" w:cs="仿宋"/>
                <w:sz w:val="18"/>
                <w:szCs w:val="18"/>
                <w:lang w:val="en-US" w:eastAsia="zh-CN"/>
              </w:rPr>
              <w:t>事业</w:t>
            </w:r>
          </w:p>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收入</w:t>
            </w:r>
          </w:p>
        </w:tc>
        <w:tc>
          <w:tcPr>
            <w:tcW w:w="81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事业单位经营收入</w:t>
            </w:r>
          </w:p>
        </w:tc>
        <w:tc>
          <w:tcPr>
            <w:tcW w:w="6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上级补助收入</w:t>
            </w:r>
          </w:p>
        </w:tc>
        <w:tc>
          <w:tcPr>
            <w:tcW w:w="686"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附属单位上缴收入</w:t>
            </w:r>
          </w:p>
        </w:tc>
        <w:tc>
          <w:tcPr>
            <w:tcW w:w="83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lang w:val="en-US" w:eastAsia="zh-CN"/>
              </w:rPr>
            </w:pPr>
            <w:r>
              <w:rPr>
                <w:rFonts w:hint="eastAsia" w:ascii="仿宋" w:hAnsi="仿宋" w:eastAsia="仿宋" w:cs="仿宋"/>
                <w:sz w:val="18"/>
                <w:szCs w:val="18"/>
                <w:lang w:val="en-US" w:eastAsia="zh-CN"/>
              </w:rPr>
              <w:t>其他</w:t>
            </w:r>
          </w:p>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收入</w:t>
            </w:r>
          </w:p>
        </w:tc>
        <w:tc>
          <w:tcPr>
            <w:tcW w:w="82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小计</w:t>
            </w:r>
          </w:p>
        </w:tc>
        <w:tc>
          <w:tcPr>
            <w:tcW w:w="82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一般公共预算</w:t>
            </w:r>
          </w:p>
        </w:tc>
        <w:tc>
          <w:tcPr>
            <w:tcW w:w="83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政府性基金预算</w:t>
            </w:r>
          </w:p>
        </w:tc>
        <w:tc>
          <w:tcPr>
            <w:tcW w:w="55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国有资本经营预算</w:t>
            </w:r>
          </w:p>
        </w:tc>
        <w:tc>
          <w:tcPr>
            <w:tcW w:w="82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财政专户管理资金</w:t>
            </w:r>
          </w:p>
        </w:tc>
        <w:tc>
          <w:tcPr>
            <w:tcW w:w="86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lang w:val="en-US" w:eastAsia="zh-CN"/>
              </w:rPr>
            </w:pPr>
            <w:r>
              <w:rPr>
                <w:rFonts w:hint="eastAsia" w:ascii="仿宋" w:hAnsi="仿宋" w:eastAsia="仿宋" w:cs="仿宋"/>
                <w:sz w:val="18"/>
                <w:szCs w:val="18"/>
                <w:lang w:val="en-US" w:eastAsia="zh-CN"/>
              </w:rPr>
              <w:t>单位</w:t>
            </w:r>
          </w:p>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rHeight w:val="304" w:hRule="atLeast"/>
        </w:trPr>
        <w:tc>
          <w:tcPr>
            <w:tcW w:w="2625" w:type="dxa"/>
            <w:gridSpan w:val="2"/>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center"/>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
            </w:r>
            <w:r>
              <w:rPr>
                <w:rFonts w:hint="eastAsia" w:ascii="仿宋" w:hAnsi="仿宋" w:eastAsia="仿宋" w:cs="仿宋"/>
                <w:color w:val="000000"/>
                <w:sz w:val="15"/>
                <w:szCs w:val="15"/>
                <w:lang w:val="en-US" w:eastAsia="zh-CN"/>
              </w:rPr>
              <w:t>合计</w:t>
            </w:r>
          </w:p>
        </w:tc>
        <w:tc>
          <w:tcPr>
            <w:tcW w:w="976"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r>
              <w:rPr>
                <w:rFonts w:hint="eastAsia" w:ascii="仿宋" w:hAnsi="仿宋" w:eastAsia="仿宋" w:cs="仿宋"/>
                <w:color w:val="000000"/>
                <w:sz w:val="15"/>
                <w:szCs w:val="15"/>
                <w:lang w:val="en-US" w:eastAsia="zh-CN"/>
              </w:rPr>
              <w:t>886.17</w:t>
            </w:r>
          </w:p>
        </w:tc>
        <w:tc>
          <w:tcPr>
            <w:tcW w:w="998"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r>
              <w:rPr>
                <w:rFonts w:hint="eastAsia" w:ascii="仿宋" w:hAnsi="仿宋" w:eastAsia="仿宋" w:cs="仿宋"/>
                <w:color w:val="000000"/>
                <w:sz w:val="15"/>
                <w:szCs w:val="15"/>
                <w:lang w:val="en-US" w:eastAsia="zh-CN"/>
              </w:rPr>
              <w:t>886.17</w:t>
            </w:r>
          </w:p>
        </w:tc>
        <w:tc>
          <w:tcPr>
            <w:tcW w:w="999"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r>
              <w:rPr>
                <w:rFonts w:hint="eastAsia" w:ascii="仿宋" w:hAnsi="仿宋" w:eastAsia="仿宋" w:cs="仿宋"/>
                <w:color w:val="000000"/>
                <w:sz w:val="15"/>
                <w:szCs w:val="15"/>
                <w:lang w:val="en-US" w:eastAsia="zh-CN"/>
              </w:rPr>
              <w:t>886.17</w:t>
            </w:r>
          </w:p>
        </w:tc>
        <w:tc>
          <w:tcPr>
            <w:tcW w:w="749"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r>
              <w:rPr>
                <w:rFonts w:hint="eastAsia" w:ascii="仿宋" w:hAnsi="仿宋" w:eastAsia="仿宋" w:cs="仿宋"/>
                <w:color w:val="000000"/>
                <w:sz w:val="15"/>
                <w:szCs w:val="15"/>
                <w:lang w:val="en-US" w:eastAsia="zh-CN"/>
              </w:rPr>
              <w:t/>
            </w:r>
          </w:p>
        </w:tc>
        <w:tc>
          <w:tcPr>
            <w:tcW w:w="68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r>
              <w:rPr>
                <w:rFonts w:hint="eastAsia" w:ascii="仿宋" w:hAnsi="仿宋" w:eastAsia="仿宋" w:cs="仿宋"/>
                <w:color w:val="000000"/>
                <w:sz w:val="15"/>
                <w:szCs w:val="15"/>
                <w:lang w:val="en-US" w:eastAsia="zh-CN"/>
              </w:rPr>
              <w:t/>
            </w:r>
          </w:p>
        </w:tc>
        <w:tc>
          <w:tcPr>
            <w:tcW w:w="97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r>
              <w:rPr>
                <w:rFonts w:hint="eastAsia" w:ascii="仿宋" w:hAnsi="仿宋" w:eastAsia="仿宋" w:cs="仿宋"/>
                <w:color w:val="000000"/>
                <w:sz w:val="15"/>
                <w:szCs w:val="15"/>
                <w:lang w:val="en-US" w:eastAsia="zh-CN"/>
              </w:rPr>
              <w:t/>
            </w:r>
          </w:p>
        </w:tc>
        <w:tc>
          <w:tcPr>
            <w:tcW w:w="98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r>
              <w:rPr>
                <w:rFonts w:hint="eastAsia" w:ascii="仿宋" w:hAnsi="仿宋" w:eastAsia="仿宋" w:cs="仿宋"/>
                <w:color w:val="000000"/>
                <w:sz w:val="15"/>
                <w:szCs w:val="15"/>
                <w:lang w:val="en-US" w:eastAsia="zh-CN"/>
              </w:rPr>
              <w:t/>
            </w:r>
          </w:p>
        </w:tc>
        <w:tc>
          <w:tcPr>
            <w:tcW w:w="81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r>
              <w:rPr>
                <w:rFonts w:hint="eastAsia" w:ascii="仿宋" w:hAnsi="仿宋" w:eastAsia="仿宋" w:cs="仿宋"/>
                <w:color w:val="000000"/>
                <w:sz w:val="15"/>
                <w:szCs w:val="15"/>
                <w:lang w:val="en-US" w:eastAsia="zh-CN"/>
              </w:rPr>
              <w:t/>
            </w:r>
          </w:p>
        </w:tc>
        <w:tc>
          <w:tcPr>
            <w:tcW w:w="6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r>
              <w:rPr>
                <w:rFonts w:hint="eastAsia" w:ascii="仿宋" w:hAnsi="仿宋" w:eastAsia="仿宋" w:cs="仿宋"/>
                <w:color w:val="000000"/>
                <w:sz w:val="15"/>
                <w:szCs w:val="15"/>
                <w:lang w:val="en-US" w:eastAsia="zh-CN"/>
              </w:rPr>
              <w:t/>
            </w:r>
          </w:p>
        </w:tc>
        <w:tc>
          <w:tcPr>
            <w:tcW w:w="686"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r>
              <w:rPr>
                <w:rFonts w:hint="eastAsia" w:ascii="仿宋" w:hAnsi="仿宋" w:eastAsia="仿宋" w:cs="仿宋"/>
                <w:color w:val="000000"/>
                <w:sz w:val="15"/>
                <w:szCs w:val="15"/>
                <w:lang w:val="en-US" w:eastAsia="zh-CN"/>
              </w:rPr>
              <w:t/>
            </w:r>
          </w:p>
        </w:tc>
        <w:tc>
          <w:tcPr>
            <w:tcW w:w="83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r>
              <w:rPr>
                <w:rFonts w:hint="eastAsia" w:ascii="仿宋" w:hAnsi="仿宋" w:eastAsia="仿宋" w:cs="仿宋"/>
                <w:color w:val="000000"/>
                <w:sz w:val="15"/>
                <w:szCs w:val="15"/>
                <w:lang w:val="en-US" w:eastAsia="zh-CN"/>
              </w:rPr>
              <w:t/>
            </w:r>
          </w:p>
        </w:tc>
        <w:tc>
          <w:tcPr>
            <w:tcW w:w="82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r>
              <w:rPr>
                <w:rFonts w:hint="eastAsia" w:ascii="仿宋" w:hAnsi="仿宋" w:eastAsia="仿宋" w:cs="仿宋"/>
                <w:color w:val="000000"/>
                <w:sz w:val="15"/>
                <w:szCs w:val="15"/>
                <w:lang w:val="en-US" w:eastAsia="zh-CN"/>
              </w:rPr>
              <w:t/>
            </w:r>
          </w:p>
        </w:tc>
        <w:tc>
          <w:tcPr>
            <w:tcW w:w="82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r>
              <w:rPr>
                <w:rFonts w:hint="eastAsia" w:ascii="仿宋" w:hAnsi="仿宋" w:eastAsia="仿宋" w:cs="仿宋"/>
                <w:color w:val="000000"/>
                <w:sz w:val="15"/>
                <w:szCs w:val="15"/>
                <w:lang w:val="en-US" w:eastAsia="zh-CN"/>
              </w:rPr>
              <w:t/>
            </w:r>
          </w:p>
        </w:tc>
        <w:tc>
          <w:tcPr>
            <w:tcW w:w="83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r>
              <w:rPr>
                <w:rFonts w:hint="eastAsia" w:ascii="仿宋" w:hAnsi="仿宋" w:eastAsia="仿宋" w:cs="仿宋"/>
                <w:color w:val="000000"/>
                <w:sz w:val="15"/>
                <w:szCs w:val="15"/>
                <w:lang w:val="en-US" w:eastAsia="zh-CN"/>
              </w:rPr>
              <w:t/>
            </w:r>
          </w:p>
        </w:tc>
        <w:tc>
          <w:tcPr>
            <w:tcW w:w="55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r>
              <w:rPr>
                <w:rFonts w:hint="eastAsia" w:ascii="仿宋" w:hAnsi="仿宋" w:eastAsia="仿宋" w:cs="仿宋"/>
                <w:color w:val="000000"/>
                <w:sz w:val="15"/>
                <w:szCs w:val="15"/>
                <w:lang w:val="en-US" w:eastAsia="zh-CN"/>
              </w:rPr>
              <w:t/>
            </w:r>
          </w:p>
        </w:tc>
        <w:tc>
          <w:tcPr>
            <w:tcW w:w="82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r>
              <w:rPr>
                <w:rFonts w:hint="eastAsia" w:ascii="仿宋" w:hAnsi="仿宋" w:eastAsia="仿宋" w:cs="仿宋"/>
                <w:color w:val="000000"/>
                <w:sz w:val="15"/>
                <w:szCs w:val="15"/>
                <w:lang w:val="en-US" w:eastAsia="zh-CN"/>
              </w:rPr>
              <w:t/>
            </w:r>
          </w:p>
        </w:tc>
        <w:tc>
          <w:tcPr>
            <w:tcW w:w="86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r>
              <w:rPr>
                <w:rFonts w:hint="eastAsia" w:ascii="仿宋" w:hAnsi="仿宋" w:eastAsia="仿宋" w:cs="仿宋"/>
                <w:color w:val="000000"/>
                <w:sz w:val="15"/>
                <w:szCs w:val="15"/>
                <w:lang w:val="en-US" w:eastAsia="zh-CN"/>
              </w:rPr>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rHeight w:val="327" w:hRule="atLeast"/>
        </w:trPr>
        <w:tc>
          <w:tcPr>
            <w:tcW w:w="82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lef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054</w:t>
            </w:r>
          </w:p>
        </w:tc>
        <w:tc>
          <w:tcPr>
            <w:tcW w:w="180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lef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无锡市滨湖区公共资源交易中心</w:t>
            </w:r>
          </w:p>
        </w:tc>
        <w:tc>
          <w:tcPr>
            <w:tcW w:w="976"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886.17</w:t>
            </w:r>
          </w:p>
        </w:tc>
        <w:tc>
          <w:tcPr>
            <w:tcW w:w="998"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886.17</w:t>
            </w:r>
          </w:p>
        </w:tc>
        <w:tc>
          <w:tcPr>
            <w:tcW w:w="999"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886.17</w:t>
            </w:r>
          </w:p>
        </w:tc>
        <w:tc>
          <w:tcPr>
            <w:tcW w:w="749"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
            </w:r>
          </w:p>
        </w:tc>
        <w:tc>
          <w:tcPr>
            <w:tcW w:w="68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
            </w:r>
          </w:p>
        </w:tc>
        <w:tc>
          <w:tcPr>
            <w:tcW w:w="97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
            </w:r>
          </w:p>
        </w:tc>
        <w:tc>
          <w:tcPr>
            <w:tcW w:w="98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
            </w:r>
          </w:p>
        </w:tc>
        <w:tc>
          <w:tcPr>
            <w:tcW w:w="81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
            </w:r>
          </w:p>
        </w:tc>
        <w:tc>
          <w:tcPr>
            <w:tcW w:w="6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
            </w:r>
          </w:p>
        </w:tc>
        <w:tc>
          <w:tcPr>
            <w:tcW w:w="686"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
            </w:r>
          </w:p>
        </w:tc>
        <w:tc>
          <w:tcPr>
            <w:tcW w:w="83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
            </w:r>
          </w:p>
        </w:tc>
        <w:tc>
          <w:tcPr>
            <w:tcW w:w="82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
            </w:r>
          </w:p>
        </w:tc>
        <w:tc>
          <w:tcPr>
            <w:tcW w:w="82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
            </w:r>
          </w:p>
        </w:tc>
        <w:tc>
          <w:tcPr>
            <w:tcW w:w="83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
            </w:r>
          </w:p>
        </w:tc>
        <w:tc>
          <w:tcPr>
            <w:tcW w:w="55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
            </w:r>
          </w:p>
        </w:tc>
        <w:tc>
          <w:tcPr>
            <w:tcW w:w="82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
            </w:r>
          </w:p>
        </w:tc>
        <w:tc>
          <w:tcPr>
            <w:tcW w:w="86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rHeight w:val="327" w:hRule="atLeast"/>
        </w:trPr>
        <w:tc>
          <w:tcPr>
            <w:tcW w:w="82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lef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 xml:space="preserve">  054001</w:t>
            </w:r>
          </w:p>
        </w:tc>
        <w:tc>
          <w:tcPr>
            <w:tcW w:w="180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lef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无锡市滨湖区公共资源交易中心（本级）</w:t>
            </w:r>
          </w:p>
        </w:tc>
        <w:tc>
          <w:tcPr>
            <w:tcW w:w="976"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886.17</w:t>
            </w:r>
          </w:p>
        </w:tc>
        <w:tc>
          <w:tcPr>
            <w:tcW w:w="998"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886.17</w:t>
            </w:r>
          </w:p>
        </w:tc>
        <w:tc>
          <w:tcPr>
            <w:tcW w:w="999"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886.17</w:t>
            </w:r>
          </w:p>
        </w:tc>
        <w:tc>
          <w:tcPr>
            <w:tcW w:w="749"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
            </w:r>
          </w:p>
        </w:tc>
        <w:tc>
          <w:tcPr>
            <w:tcW w:w="68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
            </w:r>
          </w:p>
        </w:tc>
        <w:tc>
          <w:tcPr>
            <w:tcW w:w="97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
            </w:r>
          </w:p>
        </w:tc>
        <w:tc>
          <w:tcPr>
            <w:tcW w:w="98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
            </w:r>
          </w:p>
        </w:tc>
        <w:tc>
          <w:tcPr>
            <w:tcW w:w="81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
            </w:r>
          </w:p>
        </w:tc>
        <w:tc>
          <w:tcPr>
            <w:tcW w:w="6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
            </w:r>
          </w:p>
        </w:tc>
        <w:tc>
          <w:tcPr>
            <w:tcW w:w="686"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
            </w:r>
          </w:p>
        </w:tc>
        <w:tc>
          <w:tcPr>
            <w:tcW w:w="83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
            </w:r>
          </w:p>
        </w:tc>
        <w:tc>
          <w:tcPr>
            <w:tcW w:w="82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
            </w:r>
          </w:p>
        </w:tc>
        <w:tc>
          <w:tcPr>
            <w:tcW w:w="82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
            </w:r>
          </w:p>
        </w:tc>
        <w:tc>
          <w:tcPr>
            <w:tcW w:w="83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
            </w:r>
          </w:p>
        </w:tc>
        <w:tc>
          <w:tcPr>
            <w:tcW w:w="55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
            </w:r>
          </w:p>
        </w:tc>
        <w:tc>
          <w:tcPr>
            <w:tcW w:w="82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
            </w:r>
          </w:p>
        </w:tc>
        <w:tc>
          <w:tcPr>
            <w:tcW w:w="86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
            </w:r>
          </w:p>
        </w:tc>
      </w:tr>
    </w:tbl>
    <w:p>
      <w:pPr>
        <w:widowControl w:val="0"/>
        <w:suppressAutoHyphens/>
        <w:bidi w:val="0"/>
        <w:spacing w:before="66" w:after="0"/>
        <w:ind w:left="0" w:leftChars="0" w:right="0" w:firstLine="0" w:firstLineChars="0"/>
        <w:jc w:val="left"/>
        <w:rPr>
          <w:rFonts w:hint="eastAsia" w:ascii="仿宋" w:hAnsi="仿宋" w:eastAsia="仿宋" w:cs="仿宋"/>
          <w:b/>
          <w:bCs/>
          <w:sz w:val="22"/>
          <w:szCs w:val="22"/>
        </w:rPr>
        <w:sectPr>
          <w:footerReference r:id="rId9" w:type="default"/>
          <w:pgSz w:w="16838" w:h="11906" w:orient="landscape"/>
          <w:pgMar w:top="720" w:right="57" w:bottom="720" w:left="57"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5347" w:type="dxa"/>
        <w:tblInd w:w="96" w:type="dxa"/>
        <w:tblLayout w:type="fixed"/>
        <w:tblCellMar>
          <w:top w:w="55" w:type="dxa"/>
          <w:left w:w="55" w:type="dxa"/>
          <w:bottom w:w="55" w:type="dxa"/>
          <w:right w:w="55" w:type="dxa"/>
        </w:tblCellMar>
      </w:tblPr>
      <w:tblGrid>
        <w:gridCol w:w="1556"/>
        <w:gridCol w:w="3223"/>
        <w:gridCol w:w="1920"/>
        <w:gridCol w:w="1714"/>
        <w:gridCol w:w="1749"/>
        <w:gridCol w:w="1868"/>
        <w:gridCol w:w="1680"/>
        <w:gridCol w:w="1637"/>
      </w:tblGrid>
      <w:tr>
        <w:tblPrEx>
          <w:tblCellMar>
            <w:top w:w="55" w:type="dxa"/>
            <w:left w:w="55" w:type="dxa"/>
            <w:bottom w:w="55" w:type="dxa"/>
            <w:right w:w="55" w:type="dxa"/>
          </w:tblCellMar>
        </w:tblPrEx>
        <w:trPr>
          <w:trHeight w:val="341" w:hRule="atLeast"/>
        </w:trPr>
        <w:tc>
          <w:tcPr>
            <w:tcW w:w="15347" w:type="dxa"/>
            <w:gridSpan w:val="8"/>
            <w:vAlign w:val="center"/>
          </w:tcPr>
          <w:p>
            <w:pPr>
              <w:pStyle w:val="5"/>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b/>
                <w:bCs/>
                <w:sz w:val="44"/>
                <w:szCs w:val="44"/>
              </w:rPr>
            </w:pPr>
            <w:r>
              <w:rPr>
                <w:rFonts w:hint="eastAsia" w:ascii="仿宋" w:hAnsi="仿宋" w:eastAsia="仿宋" w:cs="仿宋"/>
                <w:sz w:val="22"/>
                <w:szCs w:val="22"/>
              </w:rPr>
              <w:t>公开03表</w:t>
            </w:r>
          </w:p>
        </w:tc>
      </w:tr>
      <w:tr>
        <w:tblPrEx>
          <w:tblCellMar>
            <w:top w:w="55" w:type="dxa"/>
            <w:left w:w="55" w:type="dxa"/>
            <w:bottom w:w="55" w:type="dxa"/>
            <w:right w:w="55" w:type="dxa"/>
          </w:tblCellMar>
        </w:tblPrEx>
        <w:trPr>
          <w:trHeight w:val="321" w:hRule="atLeast"/>
        </w:trPr>
        <w:tc>
          <w:tcPr>
            <w:tcW w:w="15347" w:type="dxa"/>
            <w:gridSpan w:val="8"/>
            <w:vAlign w:val="center"/>
          </w:tcPr>
          <w:p>
            <w:pPr>
              <w:pStyle w:val="22"/>
              <w:keepNext w:val="0"/>
              <w:keepLines w:val="0"/>
              <w:pageBreakBefore w:val="0"/>
              <w:widowControl w:val="0"/>
              <w:kinsoku/>
              <w:wordWrap/>
              <w:overflowPunct/>
              <w:topLinePunct w:val="0"/>
              <w:autoSpaceDE/>
              <w:autoSpaceDN/>
              <w:bidi w:val="0"/>
              <w:adjustRightInd/>
              <w:snapToGrid/>
              <w:spacing w:before="0" w:after="34" w:line="34" w:lineRule="atLeast"/>
              <w:ind w:firstLine="0"/>
              <w:jc w:val="center"/>
              <w:textAlignment w:val="auto"/>
              <w:rPr>
                <w:rFonts w:hint="eastAsia" w:ascii="仿宋" w:hAnsi="仿宋" w:eastAsia="仿宋" w:cs="仿宋"/>
                <w:sz w:val="22"/>
                <w:szCs w:val="22"/>
              </w:rPr>
            </w:pPr>
            <w:r>
              <w:rPr>
                <w:rFonts w:hint="eastAsia" w:ascii="仿宋" w:hAnsi="仿宋" w:eastAsia="仿宋" w:cs="仿宋"/>
                <w:b/>
                <w:bCs/>
                <w:sz w:val="44"/>
                <w:szCs w:val="44"/>
              </w:rPr>
              <w:t>支出</w:t>
            </w:r>
            <w:r>
              <w:rPr>
                <w:rFonts w:hint="eastAsia" w:ascii="仿宋" w:hAnsi="仿宋" w:eastAsia="仿宋" w:cs="仿宋"/>
                <w:b/>
                <w:bCs/>
                <w:sz w:val="44"/>
                <w:szCs w:val="44"/>
                <w:lang w:val="en-US" w:eastAsia="zh-CN"/>
              </w:rPr>
              <w:t>总</w:t>
            </w:r>
            <w:r>
              <w:rPr>
                <w:rFonts w:hint="eastAsia" w:ascii="仿宋" w:hAnsi="仿宋" w:eastAsia="仿宋" w:cs="仿宋"/>
                <w:b/>
                <w:bCs/>
                <w:sz w:val="44"/>
                <w:szCs w:val="44"/>
              </w:rPr>
              <w:t>表</w:t>
            </w:r>
          </w:p>
        </w:tc>
      </w:tr>
      <w:tr>
        <w:tblPrEx>
          <w:tblCellMar>
            <w:top w:w="55" w:type="dxa"/>
            <w:left w:w="55" w:type="dxa"/>
            <w:bottom w:w="55" w:type="dxa"/>
            <w:right w:w="55" w:type="dxa"/>
          </w:tblCellMar>
        </w:tblPrEx>
        <w:trPr>
          <w:trHeight w:val="218" w:hRule="atLeast"/>
        </w:trPr>
        <w:tc>
          <w:tcPr>
            <w:tcW w:w="12030" w:type="dxa"/>
            <w:gridSpan w:val="6"/>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rPr>
            </w:pPr>
            <w:r>
              <w:rPr>
                <w:rFonts w:hint="eastAsia" w:ascii="仿宋" w:hAnsi="仿宋" w:eastAsia="仿宋" w:cs="仿宋"/>
                <w:color w:val="000000"/>
                <w:sz w:val="22"/>
                <w:szCs w:val="22"/>
                <w:lang w:eastAsia="zh-CN"/>
              </w:rPr>
              <w:t>部门</w:t>
            </w:r>
            <w:r>
              <w:rPr>
                <w:rFonts w:ascii="仿宋" w:hAnsi="仿宋" w:cs="仿宋" w:eastAsia="仿宋"/>
                <w:color w:val="000000"/>
                <w:sz w:val="22"/>
              </w:rPr>
              <w:t>：</w:t>
            </w:r>
            <w:r>
              <w:rPr>
                <w:rFonts w:hint="eastAsia" w:ascii="仿宋" w:hAnsi="仿宋" w:eastAsia="仿宋" w:cs="仿宋"/>
              </w:rPr>
              <w:t>无锡市滨湖区公共资源交易中心</w:t>
            </w:r>
          </w:p>
        </w:tc>
        <w:tc>
          <w:tcPr>
            <w:tcW w:w="3317" w:type="dxa"/>
            <w:gridSpan w:val="2"/>
            <w:vAlign w:val="center"/>
          </w:tcPr>
          <w:p>
            <w:pPr>
              <w:pStyle w:val="22"/>
              <w:keepNext w:val="0"/>
              <w:keepLines w:val="0"/>
              <w:pageBreakBefore w:val="0"/>
              <w:widowControl w:val="0"/>
              <w:kinsoku/>
              <w:wordWrap/>
              <w:overflowPunct/>
              <w:topLinePunct w:val="0"/>
              <w:autoSpaceDE/>
              <w:autoSpaceDN/>
              <w:bidi w:val="0"/>
              <w:adjustRightInd/>
              <w:snapToGrid/>
              <w:spacing w:before="0" w:after="34" w:line="34" w:lineRule="atLeast"/>
              <w:ind w:firstLine="0"/>
              <w:jc w:val="right"/>
              <w:textAlignment w:val="auto"/>
              <w:rPr>
                <w:rFonts w:hint="eastAsia" w:ascii="仿宋" w:hAnsi="仿宋" w:eastAsia="仿宋" w:cs="仿宋"/>
                <w:sz w:val="22"/>
                <w:szCs w:val="22"/>
              </w:rPr>
            </w:pPr>
            <w:r>
              <w:rPr>
                <w:rFonts w:hint="eastAsia" w:ascii="仿宋" w:hAnsi="仿宋" w:eastAsia="仿宋" w:cs="仿宋"/>
                <w:sz w:val="22"/>
                <w:szCs w:val="22"/>
                <w:lang w:eastAsia="zh-CN"/>
              </w:rPr>
              <w:t>单位</w:t>
            </w:r>
            <w:r>
              <w:rPr>
                <w:rFonts w:hint="eastAsia" w:ascii="仿宋" w:hAnsi="仿宋" w:eastAsia="仿宋" w:cs="仿宋"/>
                <w:sz w:val="22"/>
                <w:szCs w:val="22"/>
              </w:rPr>
              <w:t>：万元</w:t>
            </w:r>
          </w:p>
        </w:tc>
      </w:tr>
      <w:tr>
        <w:tblPrEx>
          <w:tblCellMar>
            <w:top w:w="55" w:type="dxa"/>
            <w:left w:w="55" w:type="dxa"/>
            <w:bottom w:w="55" w:type="dxa"/>
            <w:right w:w="55" w:type="dxa"/>
          </w:tblCellMar>
        </w:tblPrEx>
        <w:trPr>
          <w:trHeight w:val="533" w:hRule="atLeast"/>
        </w:trPr>
        <w:tc>
          <w:tcPr>
            <w:tcW w:w="1556" w:type="dxa"/>
            <w:tcBorders>
              <w:top w:val="single" w:color="000000" w:sz="4" w:space="0"/>
              <w:left w:val="single" w:color="000000" w:sz="4" w:space="0"/>
              <w:bottom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before="0" w:after="34" w:line="34" w:lineRule="atLeast"/>
              <w:ind w:firstLine="0"/>
              <w:jc w:val="center"/>
              <w:textAlignment w:val="auto"/>
              <w:rPr>
                <w:rFonts w:hint="eastAsia" w:ascii="仿宋" w:hAnsi="仿宋" w:eastAsia="仿宋" w:cs="仿宋"/>
                <w:sz w:val="22"/>
                <w:szCs w:val="22"/>
              </w:rPr>
            </w:pPr>
            <w:r>
              <w:rPr>
                <w:rFonts w:hint="eastAsia" w:ascii="仿宋" w:hAnsi="仿宋" w:eastAsia="仿宋" w:cs="仿宋"/>
                <w:kern w:val="0"/>
                <w:sz w:val="22"/>
                <w:szCs w:val="22"/>
              </w:rPr>
              <w:t>科目编码</w:t>
            </w:r>
          </w:p>
        </w:tc>
        <w:tc>
          <w:tcPr>
            <w:tcW w:w="3223" w:type="dxa"/>
            <w:tcBorders>
              <w:top w:val="single" w:color="000000" w:sz="4" w:space="0"/>
              <w:left w:val="single" w:color="000000" w:sz="4" w:space="0"/>
              <w:bottom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before="0" w:after="34" w:line="34" w:lineRule="atLeast"/>
              <w:ind w:firstLine="0"/>
              <w:jc w:val="center"/>
              <w:textAlignment w:val="auto"/>
              <w:rPr>
                <w:rFonts w:hint="eastAsia" w:ascii="仿宋" w:hAnsi="仿宋" w:eastAsia="仿宋" w:cs="仿宋"/>
                <w:kern w:val="0"/>
                <w:sz w:val="22"/>
                <w:szCs w:val="22"/>
              </w:rPr>
            </w:pPr>
            <w:r>
              <w:rPr>
                <w:rFonts w:hint="eastAsia" w:ascii="仿宋" w:hAnsi="仿宋" w:eastAsia="仿宋" w:cs="仿宋"/>
                <w:kern w:val="0"/>
                <w:sz w:val="22"/>
                <w:szCs w:val="22"/>
              </w:rPr>
              <w:t>科目名称</w:t>
            </w:r>
          </w:p>
        </w:tc>
        <w:tc>
          <w:tcPr>
            <w:tcW w:w="1920" w:type="dxa"/>
            <w:tcBorders>
              <w:top w:val="single" w:color="000000" w:sz="4" w:space="0"/>
              <w:left w:val="single" w:color="000000" w:sz="4" w:space="0"/>
              <w:bottom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before="0" w:after="34" w:line="34" w:lineRule="atLeast"/>
              <w:ind w:firstLine="0"/>
              <w:jc w:val="center"/>
              <w:textAlignment w:val="auto"/>
              <w:rPr>
                <w:rFonts w:hint="eastAsia" w:ascii="仿宋" w:hAnsi="仿宋" w:eastAsia="仿宋" w:cs="仿宋"/>
                <w:sz w:val="22"/>
                <w:szCs w:val="22"/>
              </w:rPr>
            </w:pPr>
            <w:r>
              <w:rPr>
                <w:rFonts w:hint="eastAsia" w:ascii="仿宋" w:hAnsi="仿宋" w:eastAsia="仿宋" w:cs="仿宋"/>
                <w:kern w:val="0"/>
                <w:sz w:val="22"/>
                <w:szCs w:val="22"/>
              </w:rPr>
              <w:t>合计</w:t>
            </w:r>
          </w:p>
        </w:tc>
        <w:tc>
          <w:tcPr>
            <w:tcW w:w="1714" w:type="dxa"/>
            <w:tcBorders>
              <w:top w:val="single" w:color="000000" w:sz="4" w:space="0"/>
              <w:left w:val="single" w:color="000000" w:sz="4" w:space="0"/>
              <w:bottom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before="0" w:after="34" w:line="34" w:lineRule="atLeast"/>
              <w:ind w:firstLine="0"/>
              <w:jc w:val="center"/>
              <w:textAlignment w:val="auto"/>
              <w:rPr>
                <w:rFonts w:hint="eastAsia" w:ascii="仿宋" w:hAnsi="仿宋" w:eastAsia="仿宋" w:cs="仿宋"/>
                <w:sz w:val="22"/>
                <w:szCs w:val="22"/>
              </w:rPr>
            </w:pPr>
            <w:r>
              <w:rPr>
                <w:rFonts w:hint="eastAsia" w:ascii="仿宋" w:hAnsi="仿宋" w:eastAsia="仿宋" w:cs="仿宋"/>
                <w:kern w:val="0"/>
                <w:sz w:val="22"/>
                <w:szCs w:val="22"/>
              </w:rPr>
              <w:t>基本支出</w:t>
            </w:r>
          </w:p>
        </w:tc>
        <w:tc>
          <w:tcPr>
            <w:tcW w:w="1749" w:type="dxa"/>
            <w:tcBorders>
              <w:top w:val="single" w:color="000000" w:sz="4" w:space="0"/>
              <w:left w:val="single" w:color="000000" w:sz="4" w:space="0"/>
              <w:bottom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before="0" w:after="34" w:line="34" w:lineRule="atLeast"/>
              <w:ind w:firstLine="0"/>
              <w:jc w:val="center"/>
              <w:textAlignment w:val="auto"/>
              <w:rPr>
                <w:rFonts w:hint="eastAsia" w:ascii="仿宋" w:hAnsi="仿宋" w:eastAsia="仿宋" w:cs="仿宋"/>
                <w:sz w:val="22"/>
                <w:szCs w:val="22"/>
              </w:rPr>
            </w:pPr>
            <w:r>
              <w:rPr>
                <w:rFonts w:hint="eastAsia" w:ascii="仿宋" w:hAnsi="仿宋" w:eastAsia="仿宋" w:cs="仿宋"/>
                <w:kern w:val="0"/>
                <w:sz w:val="22"/>
                <w:szCs w:val="22"/>
              </w:rPr>
              <w:t>项目支出</w:t>
            </w:r>
          </w:p>
        </w:tc>
        <w:tc>
          <w:tcPr>
            <w:tcW w:w="1868" w:type="dxa"/>
            <w:tcBorders>
              <w:top w:val="single" w:color="000000" w:sz="4" w:space="0"/>
              <w:left w:val="single" w:color="000000" w:sz="4" w:space="0"/>
              <w:bottom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before="0" w:after="34" w:line="34" w:lineRule="atLeast"/>
              <w:ind w:firstLine="0"/>
              <w:jc w:val="center"/>
              <w:textAlignment w:val="auto"/>
              <w:rPr>
                <w:rFonts w:hint="eastAsia" w:ascii="仿宋" w:hAnsi="仿宋" w:eastAsia="仿宋" w:cs="仿宋"/>
                <w:kern w:val="0"/>
                <w:sz w:val="22"/>
                <w:szCs w:val="22"/>
                <w:lang w:val="en-US" w:eastAsia="zh-CN"/>
              </w:rPr>
            </w:pPr>
            <w:r>
              <w:rPr>
                <w:rFonts w:hint="eastAsia" w:ascii="仿宋" w:hAnsi="仿宋" w:eastAsia="仿宋" w:cs="仿宋"/>
                <w:kern w:val="0"/>
                <w:sz w:val="22"/>
                <w:szCs w:val="22"/>
                <w:lang w:val="en-US" w:eastAsia="zh-CN"/>
              </w:rPr>
              <w:t>事业单位</w:t>
            </w:r>
          </w:p>
          <w:p>
            <w:pPr>
              <w:pStyle w:val="22"/>
              <w:keepNext w:val="0"/>
              <w:keepLines w:val="0"/>
              <w:pageBreakBefore w:val="0"/>
              <w:widowControl w:val="0"/>
              <w:kinsoku/>
              <w:wordWrap/>
              <w:overflowPunct/>
              <w:topLinePunct w:val="0"/>
              <w:autoSpaceDE/>
              <w:autoSpaceDN/>
              <w:bidi w:val="0"/>
              <w:adjustRightInd/>
              <w:snapToGrid/>
              <w:spacing w:before="0" w:after="34" w:line="34" w:lineRule="atLeast"/>
              <w:ind w:firstLine="0"/>
              <w:jc w:val="center"/>
              <w:textAlignment w:val="auto"/>
              <w:rPr>
                <w:rFonts w:hint="eastAsia" w:ascii="仿宋" w:hAnsi="仿宋" w:eastAsia="仿宋" w:cs="仿宋"/>
                <w:sz w:val="22"/>
                <w:szCs w:val="22"/>
              </w:rPr>
            </w:pPr>
            <w:r>
              <w:rPr>
                <w:rFonts w:hint="eastAsia" w:ascii="仿宋" w:hAnsi="仿宋" w:eastAsia="仿宋" w:cs="仿宋"/>
                <w:kern w:val="0"/>
                <w:sz w:val="22"/>
                <w:szCs w:val="22"/>
                <w:lang w:val="en-US" w:eastAsia="zh-CN"/>
              </w:rPr>
              <w:t>经营支出</w:t>
            </w:r>
          </w:p>
        </w:tc>
        <w:tc>
          <w:tcPr>
            <w:tcW w:w="1680" w:type="dxa"/>
            <w:tcBorders>
              <w:top w:val="single" w:color="000000" w:sz="4" w:space="0"/>
              <w:left w:val="single" w:color="000000" w:sz="4" w:space="0"/>
              <w:bottom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before="0" w:after="34" w:line="34" w:lineRule="atLeast"/>
              <w:ind w:firstLine="0"/>
              <w:jc w:val="center"/>
              <w:textAlignment w:val="auto"/>
              <w:rPr>
                <w:rFonts w:hint="eastAsia" w:ascii="仿宋" w:hAnsi="仿宋" w:eastAsia="仿宋" w:cs="仿宋"/>
                <w:sz w:val="22"/>
                <w:szCs w:val="22"/>
              </w:rPr>
            </w:pPr>
            <w:r>
              <w:rPr>
                <w:rFonts w:hint="eastAsia" w:ascii="仿宋" w:hAnsi="仿宋" w:eastAsia="仿宋" w:cs="仿宋"/>
                <w:kern w:val="0"/>
                <w:sz w:val="22"/>
                <w:szCs w:val="22"/>
              </w:rPr>
              <w:t>上缴上级支出</w:t>
            </w:r>
          </w:p>
        </w:tc>
        <w:tc>
          <w:tcPr>
            <w:tcW w:w="1637" w:type="dxa"/>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before="0" w:after="34" w:line="34" w:lineRule="atLeast"/>
              <w:ind w:firstLine="0"/>
              <w:jc w:val="center"/>
              <w:textAlignment w:val="auto"/>
              <w:rPr>
                <w:rFonts w:hint="eastAsia" w:ascii="仿宋" w:hAnsi="仿宋" w:eastAsia="仿宋" w:cs="仿宋"/>
                <w:sz w:val="22"/>
                <w:szCs w:val="22"/>
              </w:rPr>
            </w:pPr>
            <w:r>
              <w:rPr>
                <w:rFonts w:hint="eastAsia" w:ascii="仿宋" w:hAnsi="仿宋" w:eastAsia="仿宋" w:cs="仿宋"/>
                <w:kern w:val="0"/>
                <w:sz w:val="22"/>
                <w:szCs w:val="22"/>
              </w:rPr>
              <w:t>对附属单位补助支出</w:t>
            </w:r>
          </w:p>
        </w:tc>
      </w:tr>
      <w:tr>
        <w:tblPrEx>
          <w:tblCellMar>
            <w:top w:w="55" w:type="dxa"/>
            <w:left w:w="55" w:type="dxa"/>
            <w:bottom w:w="55" w:type="dxa"/>
            <w:right w:w="55" w:type="dxa"/>
          </w:tblCellMar>
        </w:tblPrEx>
        <w:trPr>
          <w:trHeight w:val="375" w:hRule="exact"/>
        </w:trPr>
        <w:tc>
          <w:tcPr>
            <w:tcW w:w="4779"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
            </w:r>
            <w:r>
              <w:rPr>
                <w:rFonts w:ascii="仿宋" w:hAnsi="仿宋" w:cs="仿宋" w:eastAsia="仿宋"/>
                <w:sz w:val="22"/>
              </w:rPr>
              <w:t>合计</w:t>
            </w:r>
          </w:p>
        </w:tc>
        <w:tc>
          <w:tcPr>
            <w:tcW w:w="192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886.17</w:t>
            </w:r>
          </w:p>
        </w:tc>
        <w:tc>
          <w:tcPr>
            <w:tcW w:w="1714"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661.17</w:t>
            </w:r>
          </w:p>
        </w:tc>
        <w:tc>
          <w:tcPr>
            <w:tcW w:w="1749"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225.00</w:t>
            </w:r>
          </w:p>
        </w:tc>
        <w:tc>
          <w:tcPr>
            <w:tcW w:w="1868"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8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37"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rPr>
                <w:rFonts w:hint="eastAsia" w:ascii="仿宋" w:hAnsi="仿宋" w:eastAsia="仿宋" w:cs="仿宋"/>
                <w:sz w:val="22"/>
                <w:szCs w:val="22"/>
              </w:rPr>
            </w:pPr>
            <w:r>
              <w:rPr>
                <w:rFonts w:hint="eastAsia" w:ascii="仿宋" w:hAnsi="仿宋" w:eastAsia="仿宋" w:cs="仿宋"/>
                <w:sz w:val="22"/>
                <w:szCs w:val="22"/>
              </w:rPr>
              <w:t>201</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rPr>
                <w:rFonts w:hint="eastAsia" w:ascii="仿宋" w:hAnsi="仿宋" w:eastAsia="仿宋" w:cs="仿宋"/>
                <w:sz w:val="22"/>
                <w:szCs w:val="22"/>
              </w:rPr>
            </w:pPr>
            <w:r>
              <w:rPr>
                <w:rFonts w:hint="eastAsia" w:ascii="仿宋" w:hAnsi="仿宋" w:eastAsia="仿宋" w:cs="仿宋"/>
                <w:sz w:val="22"/>
                <w:szCs w:val="22"/>
              </w:rPr>
              <w:t>一般公共服务支出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441.83</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441.83</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rPr>
                <w:rFonts w:hint="eastAsia" w:ascii="仿宋" w:hAnsi="仿宋" w:eastAsia="仿宋" w:cs="仿宋"/>
                <w:sz w:val="22"/>
                <w:szCs w:val="22"/>
              </w:rPr>
            </w:pPr>
            <w:r>
              <w:rPr>
                <w:rFonts w:hint="eastAsia" w:ascii="仿宋" w:hAnsi="仿宋" w:eastAsia="仿宋" w:cs="仿宋"/>
                <w:sz w:val="22"/>
                <w:szCs w:val="22"/>
              </w:rPr>
              <w:t xml:space="preserve">  20103</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rPr>
                <w:rFonts w:hint="eastAsia" w:ascii="仿宋" w:hAnsi="仿宋" w:eastAsia="仿宋" w:cs="仿宋"/>
                <w:sz w:val="22"/>
                <w:szCs w:val="22"/>
              </w:rPr>
            </w:pPr>
            <w:r>
              <w:rPr>
                <w:rFonts w:hint="eastAsia" w:ascii="仿宋" w:hAnsi="仿宋" w:eastAsia="仿宋" w:cs="仿宋"/>
                <w:sz w:val="22"/>
                <w:szCs w:val="22"/>
              </w:rPr>
              <w:t>政府办公厅（室）及相关机构事务</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441.83</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441.83</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rPr>
                <w:rFonts w:hint="eastAsia" w:ascii="仿宋" w:hAnsi="仿宋" w:eastAsia="仿宋" w:cs="仿宋"/>
                <w:sz w:val="22"/>
                <w:szCs w:val="22"/>
              </w:rPr>
            </w:pPr>
            <w:r>
              <w:rPr>
                <w:rFonts w:hint="eastAsia" w:ascii="仿宋" w:hAnsi="仿宋" w:eastAsia="仿宋" w:cs="仿宋"/>
                <w:sz w:val="22"/>
                <w:szCs w:val="22"/>
              </w:rPr>
              <w:t xml:space="preserve">    2010350</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rPr>
                <w:rFonts w:hint="eastAsia" w:ascii="仿宋" w:hAnsi="仿宋" w:eastAsia="仿宋" w:cs="仿宋"/>
                <w:sz w:val="22"/>
                <w:szCs w:val="22"/>
              </w:rPr>
            </w:pPr>
            <w:r>
              <w:rPr>
                <w:rFonts w:hint="eastAsia" w:ascii="仿宋" w:hAnsi="仿宋" w:eastAsia="仿宋" w:cs="仿宋"/>
                <w:sz w:val="22"/>
                <w:szCs w:val="22"/>
              </w:rPr>
              <w:t>事业运行</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397.83</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397.83</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rPr>
                <w:rFonts w:hint="eastAsia" w:ascii="仿宋" w:hAnsi="仿宋" w:eastAsia="仿宋" w:cs="仿宋"/>
                <w:sz w:val="22"/>
                <w:szCs w:val="22"/>
              </w:rPr>
            </w:pPr>
            <w:r>
              <w:rPr>
                <w:rFonts w:hint="eastAsia" w:ascii="仿宋" w:hAnsi="仿宋" w:eastAsia="仿宋" w:cs="仿宋"/>
                <w:sz w:val="22"/>
                <w:szCs w:val="22"/>
              </w:rPr>
              <w:t xml:space="preserve">    2010399</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rPr>
                <w:rFonts w:hint="eastAsia" w:ascii="仿宋" w:hAnsi="仿宋" w:eastAsia="仿宋" w:cs="仿宋"/>
                <w:sz w:val="22"/>
                <w:szCs w:val="22"/>
              </w:rPr>
            </w:pPr>
            <w:r>
              <w:rPr>
                <w:rFonts w:hint="eastAsia" w:ascii="仿宋" w:hAnsi="仿宋" w:eastAsia="仿宋" w:cs="仿宋"/>
                <w:sz w:val="22"/>
                <w:szCs w:val="22"/>
              </w:rPr>
              <w:t>其他政府办公厅（室）及相关机构事务支出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44.00</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44.00</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rPr>
                <w:rFonts w:hint="eastAsia" w:ascii="仿宋" w:hAnsi="仿宋" w:eastAsia="仿宋" w:cs="仿宋"/>
                <w:sz w:val="22"/>
                <w:szCs w:val="22"/>
              </w:rPr>
            </w:pPr>
            <w:r>
              <w:rPr>
                <w:rFonts w:hint="eastAsia" w:ascii="仿宋" w:hAnsi="仿宋" w:eastAsia="仿宋" w:cs="仿宋"/>
                <w:sz w:val="22"/>
                <w:szCs w:val="22"/>
              </w:rPr>
              <w:t>208</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rPr>
                <w:rFonts w:hint="eastAsia" w:ascii="仿宋" w:hAnsi="仿宋" w:eastAsia="仿宋" w:cs="仿宋"/>
                <w:sz w:val="22"/>
                <w:szCs w:val="22"/>
              </w:rPr>
            </w:pPr>
            <w:r>
              <w:rPr>
                <w:rFonts w:hint="eastAsia" w:ascii="仿宋" w:hAnsi="仿宋" w:eastAsia="仿宋" w:cs="仿宋"/>
                <w:sz w:val="22"/>
                <w:szCs w:val="22"/>
              </w:rPr>
              <w:t>社会保障和就业支出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60.06</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60.06</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rPr>
                <w:rFonts w:hint="eastAsia" w:ascii="仿宋" w:hAnsi="仿宋" w:eastAsia="仿宋" w:cs="仿宋"/>
                <w:sz w:val="22"/>
                <w:szCs w:val="22"/>
              </w:rPr>
            </w:pPr>
            <w:r>
              <w:rPr>
                <w:rFonts w:hint="eastAsia" w:ascii="仿宋" w:hAnsi="仿宋" w:eastAsia="仿宋" w:cs="仿宋"/>
                <w:sz w:val="22"/>
                <w:szCs w:val="22"/>
              </w:rPr>
              <w:t xml:space="preserve">  20805</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rPr>
                <w:rFonts w:hint="eastAsia" w:ascii="仿宋" w:hAnsi="仿宋" w:eastAsia="仿宋" w:cs="仿宋"/>
                <w:sz w:val="22"/>
                <w:szCs w:val="22"/>
              </w:rPr>
            </w:pPr>
            <w:r>
              <w:rPr>
                <w:rFonts w:hint="eastAsia" w:ascii="仿宋" w:hAnsi="仿宋" w:eastAsia="仿宋" w:cs="仿宋"/>
                <w:sz w:val="22"/>
                <w:szCs w:val="22"/>
              </w:rPr>
              <w:t>行政事业单位养老支出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60.06</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60.06</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rPr>
                <w:rFonts w:hint="eastAsia" w:ascii="仿宋" w:hAnsi="仿宋" w:eastAsia="仿宋" w:cs="仿宋"/>
                <w:sz w:val="22"/>
                <w:szCs w:val="22"/>
              </w:rPr>
            </w:pPr>
            <w:r>
              <w:rPr>
                <w:rFonts w:hint="eastAsia" w:ascii="仿宋" w:hAnsi="仿宋" w:eastAsia="仿宋" w:cs="仿宋"/>
                <w:sz w:val="22"/>
                <w:szCs w:val="22"/>
              </w:rPr>
              <w:t xml:space="preserve">    2080505</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rPr>
                <w:rFonts w:hint="eastAsia" w:ascii="仿宋" w:hAnsi="仿宋" w:eastAsia="仿宋" w:cs="仿宋"/>
                <w:sz w:val="22"/>
                <w:szCs w:val="22"/>
              </w:rPr>
            </w:pPr>
            <w:r>
              <w:rPr>
                <w:rFonts w:hint="eastAsia" w:ascii="仿宋" w:hAnsi="仿宋" w:eastAsia="仿宋" w:cs="仿宋"/>
                <w:sz w:val="22"/>
                <w:szCs w:val="22"/>
              </w:rPr>
              <w:t>机关事业单位基本养老保险缴费支出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40.04</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40.04</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rPr>
                <w:rFonts w:hint="eastAsia" w:ascii="仿宋" w:hAnsi="仿宋" w:eastAsia="仿宋" w:cs="仿宋"/>
                <w:sz w:val="22"/>
                <w:szCs w:val="22"/>
              </w:rPr>
            </w:pPr>
            <w:r>
              <w:rPr>
                <w:rFonts w:hint="eastAsia" w:ascii="仿宋" w:hAnsi="仿宋" w:eastAsia="仿宋" w:cs="仿宋"/>
                <w:sz w:val="22"/>
                <w:szCs w:val="22"/>
              </w:rPr>
              <w:t xml:space="preserve">    2080506</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rPr>
                <w:rFonts w:hint="eastAsia" w:ascii="仿宋" w:hAnsi="仿宋" w:eastAsia="仿宋" w:cs="仿宋"/>
                <w:sz w:val="22"/>
                <w:szCs w:val="22"/>
              </w:rPr>
            </w:pPr>
            <w:r>
              <w:rPr>
                <w:rFonts w:hint="eastAsia" w:ascii="仿宋" w:hAnsi="仿宋" w:eastAsia="仿宋" w:cs="仿宋"/>
                <w:sz w:val="22"/>
                <w:szCs w:val="22"/>
              </w:rPr>
              <w:t>机关事业单位职业年金缴费支出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20.02</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20.02</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rPr>
                <w:rFonts w:hint="eastAsia" w:ascii="仿宋" w:hAnsi="仿宋" w:eastAsia="仿宋" w:cs="仿宋"/>
                <w:sz w:val="22"/>
                <w:szCs w:val="22"/>
              </w:rPr>
            </w:pPr>
            <w:r>
              <w:rPr>
                <w:rFonts w:hint="eastAsia" w:ascii="仿宋" w:hAnsi="仿宋" w:eastAsia="仿宋" w:cs="仿宋"/>
                <w:sz w:val="22"/>
                <w:szCs w:val="22"/>
              </w:rPr>
              <w:t>210</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rPr>
                <w:rFonts w:hint="eastAsia" w:ascii="仿宋" w:hAnsi="仿宋" w:eastAsia="仿宋" w:cs="仿宋"/>
                <w:sz w:val="22"/>
                <w:szCs w:val="22"/>
              </w:rPr>
            </w:pPr>
            <w:r>
              <w:rPr>
                <w:rFonts w:hint="eastAsia" w:ascii="仿宋" w:hAnsi="仿宋" w:eastAsia="仿宋" w:cs="仿宋"/>
                <w:sz w:val="22"/>
                <w:szCs w:val="22"/>
              </w:rPr>
              <w:t>卫生健康支出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19.68</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19.68</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rPr>
                <w:rFonts w:hint="eastAsia" w:ascii="仿宋" w:hAnsi="仿宋" w:eastAsia="仿宋" w:cs="仿宋"/>
                <w:sz w:val="22"/>
                <w:szCs w:val="22"/>
              </w:rPr>
            </w:pPr>
            <w:r>
              <w:rPr>
                <w:rFonts w:hint="eastAsia" w:ascii="仿宋" w:hAnsi="仿宋" w:eastAsia="仿宋" w:cs="仿宋"/>
                <w:sz w:val="22"/>
                <w:szCs w:val="22"/>
              </w:rPr>
              <w:t xml:space="preserve">  21011</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rPr>
                <w:rFonts w:hint="eastAsia" w:ascii="仿宋" w:hAnsi="仿宋" w:eastAsia="仿宋" w:cs="仿宋"/>
                <w:sz w:val="22"/>
                <w:szCs w:val="22"/>
              </w:rPr>
            </w:pPr>
            <w:r>
              <w:rPr>
                <w:rFonts w:hint="eastAsia" w:ascii="仿宋" w:hAnsi="仿宋" w:eastAsia="仿宋" w:cs="仿宋"/>
                <w:sz w:val="22"/>
                <w:szCs w:val="22"/>
              </w:rPr>
              <w:t>行政事业单位医疗</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19.68</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19.68</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rPr>
                <w:rFonts w:hint="eastAsia" w:ascii="仿宋" w:hAnsi="仿宋" w:eastAsia="仿宋" w:cs="仿宋"/>
                <w:sz w:val="22"/>
                <w:szCs w:val="22"/>
              </w:rPr>
            </w:pPr>
            <w:r>
              <w:rPr>
                <w:rFonts w:hint="eastAsia" w:ascii="仿宋" w:hAnsi="仿宋" w:eastAsia="仿宋" w:cs="仿宋"/>
                <w:sz w:val="22"/>
                <w:szCs w:val="22"/>
              </w:rPr>
              <w:t xml:space="preserve">    2101102</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rPr>
                <w:rFonts w:hint="eastAsia" w:ascii="仿宋" w:hAnsi="仿宋" w:eastAsia="仿宋" w:cs="仿宋"/>
                <w:sz w:val="22"/>
                <w:szCs w:val="22"/>
              </w:rPr>
            </w:pPr>
            <w:r>
              <w:rPr>
                <w:rFonts w:hint="eastAsia" w:ascii="仿宋" w:hAnsi="仿宋" w:eastAsia="仿宋" w:cs="仿宋"/>
                <w:sz w:val="22"/>
                <w:szCs w:val="22"/>
              </w:rPr>
              <w:t>事业单位医疗</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19.68</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19.68</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rPr>
                <w:rFonts w:hint="eastAsia" w:ascii="仿宋" w:hAnsi="仿宋" w:eastAsia="仿宋" w:cs="仿宋"/>
                <w:sz w:val="22"/>
                <w:szCs w:val="22"/>
              </w:rPr>
            </w:pPr>
            <w:r>
              <w:rPr>
                <w:rFonts w:hint="eastAsia" w:ascii="仿宋" w:hAnsi="仿宋" w:eastAsia="仿宋" w:cs="仿宋"/>
                <w:sz w:val="22"/>
                <w:szCs w:val="22"/>
              </w:rPr>
              <w:t>215</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rPr>
                <w:rFonts w:hint="eastAsia" w:ascii="仿宋" w:hAnsi="仿宋" w:eastAsia="仿宋" w:cs="仿宋"/>
                <w:sz w:val="22"/>
                <w:szCs w:val="22"/>
              </w:rPr>
            </w:pPr>
            <w:r>
              <w:rPr>
                <w:rFonts w:hint="eastAsia" w:ascii="仿宋" w:hAnsi="仿宋" w:eastAsia="仿宋" w:cs="仿宋"/>
                <w:sz w:val="22"/>
                <w:szCs w:val="22"/>
              </w:rPr>
              <w:t>资源勘探工业信息等支出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225.00</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225.00</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rPr>
                <w:rFonts w:hint="eastAsia" w:ascii="仿宋" w:hAnsi="仿宋" w:eastAsia="仿宋" w:cs="仿宋"/>
                <w:sz w:val="22"/>
                <w:szCs w:val="22"/>
              </w:rPr>
            </w:pPr>
            <w:r>
              <w:rPr>
                <w:rFonts w:hint="eastAsia" w:ascii="仿宋" w:hAnsi="仿宋" w:eastAsia="仿宋" w:cs="仿宋"/>
                <w:sz w:val="22"/>
                <w:szCs w:val="22"/>
              </w:rPr>
              <w:t xml:space="preserve">  21507</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rPr>
                <w:rFonts w:hint="eastAsia" w:ascii="仿宋" w:hAnsi="仿宋" w:eastAsia="仿宋" w:cs="仿宋"/>
                <w:sz w:val="22"/>
                <w:szCs w:val="22"/>
              </w:rPr>
            </w:pPr>
            <w:r>
              <w:rPr>
                <w:rFonts w:hint="eastAsia" w:ascii="仿宋" w:hAnsi="仿宋" w:eastAsia="仿宋" w:cs="仿宋"/>
                <w:sz w:val="22"/>
                <w:szCs w:val="22"/>
              </w:rPr>
              <w:t>国有资产监管</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225.00</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225.00</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rPr>
                <w:rFonts w:hint="eastAsia" w:ascii="仿宋" w:hAnsi="仿宋" w:eastAsia="仿宋" w:cs="仿宋"/>
                <w:sz w:val="22"/>
                <w:szCs w:val="22"/>
              </w:rPr>
            </w:pPr>
            <w:r>
              <w:rPr>
                <w:rFonts w:hint="eastAsia" w:ascii="仿宋" w:hAnsi="仿宋" w:eastAsia="仿宋" w:cs="仿宋"/>
                <w:sz w:val="22"/>
                <w:szCs w:val="22"/>
              </w:rPr>
              <w:t xml:space="preserve">    2150799</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rPr>
                <w:rFonts w:hint="eastAsia" w:ascii="仿宋" w:hAnsi="仿宋" w:eastAsia="仿宋" w:cs="仿宋"/>
                <w:sz w:val="22"/>
                <w:szCs w:val="22"/>
              </w:rPr>
            </w:pPr>
            <w:r>
              <w:rPr>
                <w:rFonts w:hint="eastAsia" w:ascii="仿宋" w:hAnsi="仿宋" w:eastAsia="仿宋" w:cs="仿宋"/>
                <w:sz w:val="22"/>
                <w:szCs w:val="22"/>
              </w:rPr>
              <w:t>其他国有资产监管支出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225.00</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225.00</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rPr>
                <w:rFonts w:hint="eastAsia" w:ascii="仿宋" w:hAnsi="仿宋" w:eastAsia="仿宋" w:cs="仿宋"/>
                <w:sz w:val="22"/>
                <w:szCs w:val="22"/>
              </w:rPr>
            </w:pPr>
            <w:r>
              <w:rPr>
                <w:rFonts w:hint="eastAsia" w:ascii="仿宋" w:hAnsi="仿宋" w:eastAsia="仿宋" w:cs="仿宋"/>
                <w:sz w:val="22"/>
                <w:szCs w:val="22"/>
              </w:rPr>
              <w:t>221</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rPr>
                <w:rFonts w:hint="eastAsia" w:ascii="仿宋" w:hAnsi="仿宋" w:eastAsia="仿宋" w:cs="仿宋"/>
                <w:sz w:val="22"/>
                <w:szCs w:val="22"/>
              </w:rPr>
            </w:pPr>
            <w:r>
              <w:rPr>
                <w:rFonts w:hint="eastAsia" w:ascii="仿宋" w:hAnsi="仿宋" w:eastAsia="仿宋" w:cs="仿宋"/>
                <w:sz w:val="22"/>
                <w:szCs w:val="22"/>
              </w:rPr>
              <w:t>住房保障支出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139.60</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139.60</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rPr>
                <w:rFonts w:hint="eastAsia" w:ascii="仿宋" w:hAnsi="仿宋" w:eastAsia="仿宋" w:cs="仿宋"/>
                <w:sz w:val="22"/>
                <w:szCs w:val="22"/>
              </w:rPr>
            </w:pPr>
            <w:r>
              <w:rPr>
                <w:rFonts w:hint="eastAsia" w:ascii="仿宋" w:hAnsi="仿宋" w:eastAsia="仿宋" w:cs="仿宋"/>
                <w:sz w:val="22"/>
                <w:szCs w:val="22"/>
              </w:rPr>
              <w:t xml:space="preserve">  22102</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rPr>
                <w:rFonts w:hint="eastAsia" w:ascii="仿宋" w:hAnsi="仿宋" w:eastAsia="仿宋" w:cs="仿宋"/>
                <w:sz w:val="22"/>
                <w:szCs w:val="22"/>
              </w:rPr>
            </w:pPr>
            <w:r>
              <w:rPr>
                <w:rFonts w:hint="eastAsia" w:ascii="仿宋" w:hAnsi="仿宋" w:eastAsia="仿宋" w:cs="仿宋"/>
                <w:sz w:val="22"/>
                <w:szCs w:val="22"/>
              </w:rPr>
              <w:t>住房改革支出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139.60</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139.60</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rPr>
                <w:rFonts w:hint="eastAsia" w:ascii="仿宋" w:hAnsi="仿宋" w:eastAsia="仿宋" w:cs="仿宋"/>
                <w:sz w:val="22"/>
                <w:szCs w:val="22"/>
              </w:rPr>
            </w:pPr>
            <w:r>
              <w:rPr>
                <w:rFonts w:hint="eastAsia" w:ascii="仿宋" w:hAnsi="仿宋" w:eastAsia="仿宋" w:cs="仿宋"/>
                <w:sz w:val="22"/>
                <w:szCs w:val="22"/>
              </w:rPr>
              <w:t xml:space="preserve">    2210201</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rPr>
                <w:rFonts w:hint="eastAsia" w:ascii="仿宋" w:hAnsi="仿宋" w:eastAsia="仿宋" w:cs="仿宋"/>
                <w:sz w:val="22"/>
                <w:szCs w:val="22"/>
              </w:rPr>
            </w:pPr>
            <w:r>
              <w:rPr>
                <w:rFonts w:hint="eastAsia" w:ascii="仿宋" w:hAnsi="仿宋" w:eastAsia="仿宋" w:cs="仿宋"/>
                <w:sz w:val="22"/>
                <w:szCs w:val="22"/>
              </w:rPr>
              <w:t>住房公积金</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44.09</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44.09</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rPr>
                <w:rFonts w:hint="eastAsia" w:ascii="仿宋" w:hAnsi="仿宋" w:eastAsia="仿宋" w:cs="仿宋"/>
                <w:sz w:val="22"/>
                <w:szCs w:val="22"/>
              </w:rPr>
            </w:pPr>
            <w:r>
              <w:rPr>
                <w:rFonts w:hint="eastAsia" w:ascii="仿宋" w:hAnsi="仿宋" w:eastAsia="仿宋" w:cs="仿宋"/>
                <w:sz w:val="22"/>
                <w:szCs w:val="22"/>
              </w:rPr>
              <w:t xml:space="preserve">    2210202</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rPr>
                <w:rFonts w:hint="eastAsia" w:ascii="仿宋" w:hAnsi="仿宋" w:eastAsia="仿宋" w:cs="仿宋"/>
                <w:sz w:val="22"/>
                <w:szCs w:val="22"/>
              </w:rPr>
            </w:pPr>
            <w:r>
              <w:rPr>
                <w:rFonts w:hint="eastAsia" w:ascii="仿宋" w:hAnsi="仿宋" w:eastAsia="仿宋" w:cs="仿宋"/>
                <w:sz w:val="22"/>
                <w:szCs w:val="22"/>
              </w:rPr>
              <w:t>提租补贴</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27.95</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27.95</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rPr>
                <w:rFonts w:hint="eastAsia" w:ascii="仿宋" w:hAnsi="仿宋" w:eastAsia="仿宋" w:cs="仿宋"/>
                <w:sz w:val="22"/>
                <w:szCs w:val="22"/>
              </w:rPr>
            </w:pPr>
            <w:r>
              <w:rPr>
                <w:rFonts w:hint="eastAsia" w:ascii="仿宋" w:hAnsi="仿宋" w:eastAsia="仿宋" w:cs="仿宋"/>
                <w:sz w:val="22"/>
                <w:szCs w:val="22"/>
              </w:rPr>
              <w:t xml:space="preserve">    2210203</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rPr>
                <w:rFonts w:hint="eastAsia" w:ascii="仿宋" w:hAnsi="仿宋" w:eastAsia="仿宋" w:cs="仿宋"/>
                <w:sz w:val="22"/>
                <w:szCs w:val="22"/>
              </w:rPr>
            </w:pPr>
            <w:r>
              <w:rPr>
                <w:rFonts w:hint="eastAsia" w:ascii="仿宋" w:hAnsi="仿宋" w:eastAsia="仿宋" w:cs="仿宋"/>
                <w:sz w:val="22"/>
                <w:szCs w:val="22"/>
              </w:rPr>
              <w:t>购房补贴</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67.56</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67.56</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bl>
    <w:p>
      <w:pPr>
        <w:widowControl w:val="0"/>
        <w:suppressAutoHyphens/>
        <w:bidi w:val="0"/>
        <w:spacing w:before="59" w:after="0"/>
        <w:ind w:left="57" w:right="0" w:firstLine="0"/>
        <w:jc w:val="left"/>
        <w:rPr>
          <w:rFonts w:hint="eastAsia" w:ascii="仿宋" w:hAnsi="仿宋" w:eastAsia="仿宋" w:cs="仿宋"/>
          <w:b/>
          <w:bCs/>
          <w:sz w:val="22"/>
          <w:szCs w:val="22"/>
        </w:rPr>
        <w:sectPr>
          <w:footerReference r:id="rId10" w:type="default"/>
          <w:pgSz w:w="16838" w:h="11906" w:orient="landscape"/>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5789" w:type="dxa"/>
        <w:tblInd w:w="-123" w:type="dxa"/>
        <w:tblLayout w:type="fixed"/>
        <w:tblCellMar>
          <w:top w:w="55" w:type="dxa"/>
          <w:left w:w="55" w:type="dxa"/>
          <w:bottom w:w="55" w:type="dxa"/>
          <w:right w:w="55" w:type="dxa"/>
        </w:tblCellMar>
      </w:tblPr>
      <w:tblGrid>
        <w:gridCol w:w="3987"/>
        <w:gridCol w:w="3960"/>
        <w:gridCol w:w="3943"/>
        <w:gridCol w:w="3899"/>
      </w:tblGrid>
      <w:tr>
        <w:tblPrEx>
          <w:tblCellMar>
            <w:top w:w="55" w:type="dxa"/>
            <w:left w:w="55" w:type="dxa"/>
            <w:bottom w:w="55" w:type="dxa"/>
            <w:right w:w="55" w:type="dxa"/>
          </w:tblCellMar>
        </w:tblPrEx>
        <w:trPr>
          <w:trHeight w:val="319" w:hRule="atLeast"/>
        </w:trPr>
        <w:tc>
          <w:tcPr>
            <w:tcW w:w="15789" w:type="dxa"/>
            <w:gridSpan w:val="4"/>
          </w:tcPr>
          <w:p>
            <w:pPr>
              <w:pStyle w:val="22"/>
              <w:widowControl w:val="0"/>
              <w:jc w:val="left"/>
              <w:rPr>
                <w:rFonts w:hint="eastAsia" w:ascii="仿宋" w:hAnsi="仿宋" w:eastAsia="仿宋" w:cs="仿宋"/>
                <w:b/>
                <w:bCs/>
                <w:sz w:val="44"/>
                <w:szCs w:val="44"/>
              </w:rPr>
            </w:pPr>
            <w:r>
              <w:rPr>
                <w:rFonts w:hint="eastAsia" w:ascii="仿宋" w:hAnsi="仿宋" w:eastAsia="仿宋" w:cs="仿宋"/>
                <w:sz w:val="22"/>
                <w:szCs w:val="22"/>
              </w:rPr>
              <w:t>公开04表</w:t>
            </w:r>
          </w:p>
        </w:tc>
      </w:tr>
      <w:tr>
        <w:tblPrEx>
          <w:tblCellMar>
            <w:top w:w="55" w:type="dxa"/>
            <w:left w:w="55" w:type="dxa"/>
            <w:bottom w:w="55" w:type="dxa"/>
            <w:right w:w="55" w:type="dxa"/>
          </w:tblCellMar>
        </w:tblPrEx>
        <w:trPr>
          <w:trHeight w:val="319" w:hRule="atLeast"/>
        </w:trPr>
        <w:tc>
          <w:tcPr>
            <w:tcW w:w="15789" w:type="dxa"/>
            <w:gridSpan w:val="4"/>
          </w:tcPr>
          <w:p>
            <w:pPr>
              <w:pStyle w:val="22"/>
              <w:widowControl w:val="0"/>
              <w:jc w:val="center"/>
              <w:rPr>
                <w:rFonts w:hint="eastAsia" w:ascii="仿宋" w:hAnsi="仿宋" w:eastAsia="仿宋" w:cs="仿宋"/>
                <w:sz w:val="22"/>
                <w:szCs w:val="22"/>
              </w:rPr>
            </w:pPr>
            <w:r>
              <w:rPr>
                <w:rFonts w:hint="eastAsia" w:ascii="仿宋" w:hAnsi="仿宋" w:eastAsia="仿宋" w:cs="仿宋"/>
                <w:b/>
                <w:bCs/>
                <w:sz w:val="44"/>
                <w:szCs w:val="44"/>
              </w:rPr>
              <w:t>财政拨款收支总表</w:t>
            </w:r>
          </w:p>
        </w:tc>
      </w:tr>
      <w:tr>
        <w:tblPrEx>
          <w:tblCellMar>
            <w:top w:w="55" w:type="dxa"/>
            <w:left w:w="55" w:type="dxa"/>
            <w:bottom w:w="55" w:type="dxa"/>
            <w:right w:w="55" w:type="dxa"/>
          </w:tblCellMar>
        </w:tblPrEx>
        <w:trPr>
          <w:trHeight w:val="319" w:hRule="atLeast"/>
        </w:trPr>
        <w:tc>
          <w:tcPr>
            <w:tcW w:w="11890" w:type="dxa"/>
            <w:gridSpan w:val="3"/>
          </w:tcPr>
          <w:p>
            <w:pPr>
              <w:pStyle w:val="22"/>
              <w:widowControl w:val="0"/>
              <w:jc w:val="left"/>
              <w:rPr>
                <w:rFonts w:hint="eastAsia" w:ascii="仿宋" w:hAnsi="仿宋" w:eastAsia="仿宋" w:cs="仿宋"/>
                <w:sz w:val="22"/>
                <w:szCs w:val="22"/>
              </w:rPr>
            </w:pPr>
            <w:r>
              <w:rPr>
                <w:rFonts w:hint="eastAsia" w:ascii="仿宋" w:hAnsi="仿宋" w:eastAsia="仿宋" w:cs="仿宋"/>
                <w:color w:val="000000"/>
                <w:sz w:val="22"/>
                <w:szCs w:val="22"/>
                <w:lang w:eastAsia="zh-CN"/>
              </w:rPr>
              <w:t>部门</w:t>
            </w:r>
            <w:r>
              <w:rPr>
                <w:rFonts w:ascii="仿宋" w:hAnsi="仿宋" w:cs="仿宋" w:eastAsia="仿宋"/>
                <w:color w:val="000000"/>
                <w:sz w:val="22"/>
              </w:rPr>
              <w:t>：</w:t>
            </w:r>
            <w:r>
              <w:rPr>
                <w:rFonts w:hint="eastAsia" w:ascii="仿宋" w:hAnsi="仿宋" w:eastAsia="仿宋" w:cs="仿宋"/>
                <w:sz w:val="22"/>
                <w:szCs w:val="22"/>
              </w:rPr>
              <w:t>无锡市滨湖区公共资源交易中心</w:t>
            </w:r>
          </w:p>
        </w:tc>
        <w:tc>
          <w:tcPr>
            <w:tcW w:w="3899" w:type="dxa"/>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lang w:eastAsia="zh-CN"/>
              </w:rPr>
              <w:t>单位</w:t>
            </w:r>
            <w:r>
              <w:rPr>
                <w:rFonts w:hint="eastAsia" w:ascii="仿宋" w:hAnsi="仿宋" w:eastAsia="仿宋" w:cs="仿宋"/>
                <w:sz w:val="22"/>
                <w:szCs w:val="22"/>
              </w:rPr>
              <w:t>：万元</w:t>
            </w:r>
          </w:p>
        </w:tc>
      </w:tr>
      <w:tr>
        <w:tblPrEx>
          <w:tblCellMar>
            <w:top w:w="55" w:type="dxa"/>
            <w:left w:w="55" w:type="dxa"/>
            <w:bottom w:w="55" w:type="dxa"/>
            <w:right w:w="55" w:type="dxa"/>
          </w:tblCellMar>
        </w:tblPrEx>
        <w:trPr>
          <w:trHeight w:val="196" w:hRule="atLeast"/>
        </w:trPr>
        <w:tc>
          <w:tcPr>
            <w:tcW w:w="7947" w:type="dxa"/>
            <w:gridSpan w:val="2"/>
            <w:tcBorders>
              <w:top w:val="single" w:color="000000" w:sz="4" w:space="0"/>
              <w:left w:val="single" w:color="000000" w:sz="4" w:space="0"/>
              <w:bottom w:val="single" w:color="000000" w:sz="4" w:space="0"/>
            </w:tcBorders>
          </w:tcPr>
          <w:p>
            <w:pPr>
              <w:pStyle w:val="22"/>
              <w:widowControl w:val="0"/>
              <w:jc w:val="center"/>
              <w:rPr>
                <w:rFonts w:hint="eastAsia" w:ascii="仿宋" w:hAnsi="仿宋" w:eastAsia="仿宋" w:cs="仿宋"/>
                <w:b/>
                <w:bCs/>
                <w:sz w:val="22"/>
                <w:szCs w:val="22"/>
              </w:rPr>
            </w:pPr>
            <w:r>
              <w:rPr>
                <w:rFonts w:hint="eastAsia" w:ascii="仿宋" w:hAnsi="仿宋" w:eastAsia="仿宋" w:cs="仿宋"/>
                <w:b/>
                <w:bCs/>
                <w:sz w:val="22"/>
                <w:szCs w:val="22"/>
              </w:rPr>
              <w:t>收</w:t>
            </w:r>
            <w:r>
              <w:rPr>
                <w:rFonts w:hint="eastAsia" w:ascii="仿宋" w:hAnsi="仿宋" w:eastAsia="仿宋" w:cs="仿宋"/>
                <w:b/>
                <w:bCs/>
                <w:sz w:val="22"/>
                <w:szCs w:val="22"/>
              </w:rPr>
              <w:tab/>
            </w:r>
            <w:r>
              <w:rPr>
                <w:rFonts w:hint="eastAsia" w:ascii="仿宋" w:hAnsi="仿宋" w:eastAsia="仿宋" w:cs="仿宋"/>
                <w:b/>
                <w:bCs/>
                <w:sz w:val="22"/>
                <w:szCs w:val="22"/>
              </w:rPr>
              <w:t>入</w:t>
            </w:r>
          </w:p>
        </w:tc>
        <w:tc>
          <w:tcPr>
            <w:tcW w:w="7842" w:type="dxa"/>
            <w:gridSpan w:val="2"/>
            <w:tcBorders>
              <w:top w:val="single" w:color="000000" w:sz="4" w:space="0"/>
              <w:left w:val="single" w:color="000000" w:sz="4" w:space="0"/>
              <w:bottom w:val="single" w:color="000000" w:sz="4" w:space="0"/>
              <w:right w:val="single" w:color="000000" w:sz="4" w:space="0"/>
            </w:tcBorders>
          </w:tcPr>
          <w:p>
            <w:pPr>
              <w:pStyle w:val="22"/>
              <w:widowControl w:val="0"/>
              <w:jc w:val="center"/>
              <w:rPr>
                <w:rFonts w:hint="eastAsia" w:ascii="仿宋" w:hAnsi="仿宋" w:eastAsia="仿宋" w:cs="仿宋"/>
                <w:b/>
                <w:bCs/>
                <w:sz w:val="22"/>
                <w:szCs w:val="22"/>
              </w:rPr>
            </w:pPr>
            <w:r>
              <w:rPr>
                <w:rFonts w:hint="eastAsia" w:ascii="仿宋" w:hAnsi="仿宋" w:eastAsia="仿宋" w:cs="仿宋"/>
                <w:b/>
                <w:bCs/>
                <w:sz w:val="22"/>
                <w:szCs w:val="22"/>
              </w:rPr>
              <w:t>支</w:t>
            </w:r>
            <w:r>
              <w:rPr>
                <w:rFonts w:hint="eastAsia" w:ascii="仿宋" w:hAnsi="仿宋" w:eastAsia="仿宋" w:cs="仿宋"/>
                <w:b/>
                <w:bCs/>
                <w:sz w:val="22"/>
                <w:szCs w:val="22"/>
              </w:rPr>
              <w:tab/>
            </w:r>
            <w:r>
              <w:rPr>
                <w:rFonts w:hint="eastAsia" w:ascii="仿宋" w:hAnsi="仿宋" w:eastAsia="仿宋" w:cs="仿宋"/>
                <w:b/>
                <w:bCs/>
                <w:sz w:val="22"/>
                <w:szCs w:val="22"/>
              </w:rPr>
              <w:t>出</w:t>
            </w:r>
          </w:p>
        </w:tc>
      </w:tr>
      <w:tr>
        <w:tblPrEx>
          <w:tblCellMar>
            <w:top w:w="55" w:type="dxa"/>
            <w:left w:w="55" w:type="dxa"/>
            <w:bottom w:w="55" w:type="dxa"/>
            <w:right w:w="55" w:type="dxa"/>
          </w:tblCellMar>
        </w:tblPrEx>
        <w:trPr>
          <w:trHeight w:val="468" w:hRule="atLeast"/>
        </w:trPr>
        <w:tc>
          <w:tcPr>
            <w:tcW w:w="3987"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b/>
                <w:bCs/>
                <w:sz w:val="22"/>
                <w:szCs w:val="22"/>
              </w:rPr>
            </w:pPr>
            <w:r>
              <w:rPr>
                <w:rFonts w:hint="eastAsia" w:ascii="仿宋" w:hAnsi="仿宋" w:eastAsia="仿宋" w:cs="仿宋"/>
                <w:b/>
                <w:bCs/>
                <w:sz w:val="22"/>
                <w:szCs w:val="22"/>
              </w:rPr>
              <w:t/>
            </w:r>
            <w:r>
              <w:rPr>
                <w:rFonts w:ascii="仿宋" w:hAnsi="仿宋" w:cs="仿宋" w:eastAsia="仿宋"/>
                <w:b w:val="true"/>
                <w:sz w:val="22"/>
              </w:rPr>
              <w:t>项</w:t>
            </w:r>
            <w:r>
              <w:rPr>
                <w:rFonts w:hint="eastAsia" w:ascii="仿宋" w:hAnsi="仿宋" w:eastAsia="仿宋" w:cs="仿宋"/>
                <w:b/>
                <w:bCs/>
                <w:sz w:val="22"/>
                <w:szCs w:val="22"/>
              </w:rPr>
              <w:tab/>
            </w:r>
            <w:r>
              <w:rPr>
                <w:rFonts w:hint="eastAsia" w:ascii="仿宋" w:hAnsi="仿宋" w:eastAsia="仿宋" w:cs="仿宋"/>
                <w:b/>
                <w:bCs/>
                <w:sz w:val="22"/>
                <w:szCs w:val="22"/>
              </w:rPr>
              <w:t>目</w:t>
            </w:r>
          </w:p>
        </w:tc>
        <w:tc>
          <w:tcPr>
            <w:tcW w:w="3960"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b/>
                <w:bCs/>
                <w:sz w:val="22"/>
                <w:szCs w:val="22"/>
              </w:rPr>
            </w:pPr>
            <w:r>
              <w:rPr>
                <w:rFonts w:hint="eastAsia" w:ascii="仿宋" w:hAnsi="仿宋" w:eastAsia="仿宋" w:cs="仿宋"/>
                <w:b/>
                <w:bCs/>
                <w:sz w:val="22"/>
                <w:szCs w:val="22"/>
                <w:lang w:eastAsia="zh-CN"/>
              </w:rPr>
              <w:t>预算</w:t>
            </w:r>
            <w:r>
              <w:rPr>
                <w:rFonts w:hint="eastAsia" w:ascii="仿宋" w:hAnsi="仿宋" w:eastAsia="仿宋" w:cs="仿宋"/>
                <w:b/>
                <w:bCs/>
                <w:sz w:val="22"/>
                <w:szCs w:val="22"/>
              </w:rPr>
              <w:t>数</w:t>
            </w:r>
          </w:p>
        </w:tc>
        <w:tc>
          <w:tcPr>
            <w:tcW w:w="3943" w:type="dxa"/>
            <w:tcBorders>
              <w:left w:val="single" w:color="000000" w:sz="4" w:space="0"/>
              <w:bottom w:val="single" w:color="000000" w:sz="4" w:space="0"/>
            </w:tcBorders>
            <w:vAlign w:val="center"/>
          </w:tcPr>
          <w:p>
            <w:pPr>
              <w:widowControl w:val="0"/>
              <w:jc w:val="center"/>
              <w:rPr>
                <w:rFonts w:hint="eastAsia" w:ascii="仿宋" w:hAnsi="仿宋" w:eastAsia="仿宋" w:cs="仿宋"/>
                <w:b/>
                <w:bCs/>
                <w:sz w:val="22"/>
                <w:szCs w:val="22"/>
                <w:lang w:eastAsia="zh-CN"/>
              </w:rPr>
            </w:pPr>
            <w:r>
              <w:rPr>
                <w:rFonts w:hint="eastAsia" w:ascii="仿宋" w:hAnsi="仿宋" w:eastAsia="仿宋" w:cs="仿宋"/>
                <w:b/>
                <w:bCs/>
                <w:sz w:val="22"/>
                <w:szCs w:val="22"/>
                <w:lang w:val="en-US" w:eastAsia="zh-CN"/>
              </w:rPr>
              <w:t>项目</w:t>
            </w:r>
          </w:p>
        </w:tc>
        <w:tc>
          <w:tcPr>
            <w:tcW w:w="3899" w:type="dxa"/>
            <w:tcBorders>
              <w:left w:val="single" w:color="000000" w:sz="4" w:space="0"/>
              <w:bottom w:val="single" w:color="000000" w:sz="4" w:space="0"/>
              <w:right w:val="single" w:color="000000" w:sz="4" w:space="0"/>
            </w:tcBorders>
            <w:vAlign w:val="center"/>
          </w:tcPr>
          <w:p>
            <w:pPr>
              <w:widowControl w:val="0"/>
              <w:jc w:val="center"/>
              <w:rPr>
                <w:rFonts w:hint="eastAsia" w:ascii="仿宋" w:hAnsi="仿宋" w:eastAsia="仿宋" w:cs="仿宋"/>
                <w:b/>
                <w:bCs/>
                <w:sz w:val="22"/>
                <w:szCs w:val="22"/>
              </w:rPr>
            </w:pPr>
            <w:r>
              <w:rPr>
                <w:rFonts w:hint="eastAsia" w:ascii="仿宋" w:hAnsi="仿宋" w:eastAsia="仿宋" w:cs="仿宋"/>
                <w:b/>
                <w:bCs/>
                <w:sz w:val="22"/>
                <w:szCs w:val="22"/>
                <w:lang w:eastAsia="zh-CN"/>
              </w:rPr>
              <w:t>预算</w:t>
            </w:r>
            <w:r>
              <w:rPr>
                <w:rFonts w:hint="eastAsia" w:ascii="仿宋" w:hAnsi="仿宋" w:eastAsia="仿宋" w:cs="仿宋"/>
                <w:b/>
                <w:bCs/>
                <w:sz w:val="22"/>
                <w:szCs w:val="22"/>
              </w:rPr>
              <w:t>数</w:t>
            </w:r>
          </w:p>
        </w:tc>
      </w:tr>
      <w:tr>
        <w:tblPrEx>
          <w:tblCellMar>
            <w:top w:w="55" w:type="dxa"/>
            <w:left w:w="55" w:type="dxa"/>
            <w:bottom w:w="55" w:type="dxa"/>
            <w:right w:w="55" w:type="dxa"/>
          </w:tblCellMar>
        </w:tblPrEx>
        <w:trPr>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一、本年收入</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886.17</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一、本年支出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886.17</w:t>
            </w:r>
          </w:p>
        </w:tc>
      </w:tr>
      <w:tr>
        <w:tblPrEx>
          <w:tblCellMar>
            <w:top w:w="55" w:type="dxa"/>
            <w:left w:w="55" w:type="dxa"/>
            <w:bottom w:w="55" w:type="dxa"/>
            <w:right w:w="55" w:type="dxa"/>
          </w:tblCellMar>
        </w:tblPrEx>
        <w:trPr>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（一）一般公共预算拨款</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886.17</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（一）一般公共服务支出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441.83</w:t>
            </w:r>
          </w:p>
        </w:tc>
      </w:tr>
      <w:tr>
        <w:tblPrEx>
          <w:tblCellMar>
            <w:top w:w="55" w:type="dxa"/>
            <w:left w:w="55" w:type="dxa"/>
            <w:bottom w:w="55" w:type="dxa"/>
            <w:right w:w="55" w:type="dxa"/>
          </w:tblCellMar>
        </w:tblPrEx>
        <w:trPr>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（二）政府性基金预算拨款</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（二）外交支出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
            </w:r>
          </w:p>
        </w:tc>
      </w:tr>
      <w:tr>
        <w:tblPrEx>
          <w:tblCellMar>
            <w:top w:w="55" w:type="dxa"/>
            <w:left w:w="55" w:type="dxa"/>
            <w:bottom w:w="55" w:type="dxa"/>
            <w:right w:w="55" w:type="dxa"/>
          </w:tblCellMar>
        </w:tblPrEx>
        <w:trPr>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（三）国有资本经营预算拨款</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（三）国防支出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
            </w:r>
          </w:p>
        </w:tc>
      </w:tr>
      <w:tr>
        <w:tblPrEx>
          <w:tblCellMar>
            <w:top w:w="55" w:type="dxa"/>
            <w:left w:w="55" w:type="dxa"/>
            <w:bottom w:w="55" w:type="dxa"/>
            <w:right w:w="55" w:type="dxa"/>
          </w:tblCellMar>
        </w:tblPrEx>
        <w:trPr>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二、上年结转</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（四）公共安全支出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
            </w:r>
          </w:p>
        </w:tc>
      </w:tr>
      <w:tr>
        <w:tblPrEx>
          <w:tblCellMar>
            <w:top w:w="55" w:type="dxa"/>
            <w:left w:w="55" w:type="dxa"/>
            <w:bottom w:w="55" w:type="dxa"/>
            <w:right w:w="55" w:type="dxa"/>
          </w:tblCellMar>
        </w:tblPrEx>
        <w:trPr>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（一）一般公共预算拨款</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（五）教育支出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
            </w:r>
          </w:p>
        </w:tc>
      </w:tr>
      <w:tr>
        <w:tblPrEx>
          <w:tblCellMar>
            <w:top w:w="55" w:type="dxa"/>
            <w:left w:w="55" w:type="dxa"/>
            <w:bottom w:w="55" w:type="dxa"/>
            <w:right w:w="55" w:type="dxa"/>
          </w:tblCellMar>
        </w:tblPrEx>
        <w:trPr>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（二）政府性基金预算拨款</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（六）科学技术支出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
            </w:r>
          </w:p>
        </w:tc>
      </w:tr>
      <w:tr>
        <w:tblPrEx>
          <w:tblCellMar>
            <w:top w:w="55" w:type="dxa"/>
            <w:left w:w="55" w:type="dxa"/>
            <w:bottom w:w="55" w:type="dxa"/>
            <w:right w:w="55" w:type="dxa"/>
          </w:tblCellMar>
        </w:tblPrEx>
        <w:trPr>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（三）国有资本经营预算拨款</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（七）文化旅游体育与传媒支出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
            </w:r>
          </w:p>
        </w:tc>
      </w:tr>
      <w:tr>
        <w:tblPrEx>
          <w:tblCellMar>
            <w:top w:w="55" w:type="dxa"/>
            <w:left w:w="55" w:type="dxa"/>
            <w:bottom w:w="55" w:type="dxa"/>
            <w:right w:w="55" w:type="dxa"/>
          </w:tblCellMar>
        </w:tblPrEx>
        <w:trPr>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（八）社会保障和就业支出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60.06</w:t>
            </w:r>
          </w:p>
        </w:tc>
      </w:tr>
      <w:tr>
        <w:tblPrEx>
          <w:tblCellMar>
            <w:top w:w="55" w:type="dxa"/>
            <w:left w:w="55" w:type="dxa"/>
            <w:bottom w:w="55" w:type="dxa"/>
            <w:right w:w="55" w:type="dxa"/>
          </w:tblCellMar>
        </w:tblPrEx>
        <w:trPr>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（九）社会保险基金支出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
            </w:r>
          </w:p>
        </w:tc>
      </w:tr>
      <w:tr>
        <w:tblPrEx>
          <w:tblCellMar>
            <w:top w:w="55" w:type="dxa"/>
            <w:left w:w="55" w:type="dxa"/>
            <w:bottom w:w="55" w:type="dxa"/>
            <w:right w:w="55" w:type="dxa"/>
          </w:tblCellMar>
        </w:tblPrEx>
        <w:trPr>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（十）卫生健康支出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19.68</w:t>
            </w:r>
          </w:p>
        </w:tc>
      </w:tr>
      <w:tr>
        <w:tblPrEx>
          <w:tblCellMar>
            <w:top w:w="55" w:type="dxa"/>
            <w:left w:w="55" w:type="dxa"/>
            <w:bottom w:w="55" w:type="dxa"/>
            <w:right w:w="55" w:type="dxa"/>
          </w:tblCellMar>
        </w:tblPrEx>
        <w:trPr>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（十一）节能环保支出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
            </w:r>
          </w:p>
        </w:tc>
      </w:tr>
      <w:tr>
        <w:tblPrEx>
          <w:tblCellMar>
            <w:top w:w="55" w:type="dxa"/>
            <w:left w:w="55" w:type="dxa"/>
            <w:bottom w:w="55" w:type="dxa"/>
            <w:right w:w="55" w:type="dxa"/>
          </w:tblCellMar>
        </w:tblPrEx>
        <w:trPr>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（十二）城乡社区支出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
            </w:r>
          </w:p>
        </w:tc>
      </w:tr>
      <w:tr>
        <w:tblPrEx>
          <w:tblCellMar>
            <w:top w:w="55" w:type="dxa"/>
            <w:left w:w="55" w:type="dxa"/>
            <w:bottom w:w="55" w:type="dxa"/>
            <w:right w:w="55" w:type="dxa"/>
          </w:tblCellMar>
        </w:tblPrEx>
        <w:trPr>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（十三）农林水支出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
            </w:r>
          </w:p>
        </w:tc>
      </w:tr>
      <w:tr>
        <w:tblPrEx>
          <w:tblCellMar>
            <w:top w:w="55" w:type="dxa"/>
            <w:left w:w="55" w:type="dxa"/>
            <w:bottom w:w="55" w:type="dxa"/>
            <w:right w:w="55" w:type="dxa"/>
          </w:tblCellMar>
        </w:tblPrEx>
        <w:trPr>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（十四）交通运输支出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
            </w:r>
          </w:p>
        </w:tc>
      </w:tr>
      <w:tr>
        <w:tblPrEx>
          <w:tblCellMar>
            <w:top w:w="55" w:type="dxa"/>
            <w:left w:w="55" w:type="dxa"/>
            <w:bottom w:w="55" w:type="dxa"/>
            <w:right w:w="55" w:type="dxa"/>
          </w:tblCellMar>
        </w:tblPrEx>
        <w:trPr>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（十五）资源勘探工业信息等支出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225.00</w:t>
            </w:r>
          </w:p>
        </w:tc>
      </w:tr>
      <w:tr>
        <w:tblPrEx>
          <w:tblCellMar>
            <w:top w:w="55" w:type="dxa"/>
            <w:left w:w="55" w:type="dxa"/>
            <w:bottom w:w="55" w:type="dxa"/>
            <w:right w:w="55" w:type="dxa"/>
          </w:tblCellMar>
        </w:tblPrEx>
        <w:trPr>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（十六）商业服务业等支出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
            </w:r>
          </w:p>
        </w:tc>
      </w:tr>
      <w:tr>
        <w:tblPrEx>
          <w:tblCellMar>
            <w:top w:w="55" w:type="dxa"/>
            <w:left w:w="55" w:type="dxa"/>
            <w:bottom w:w="55" w:type="dxa"/>
            <w:right w:w="55" w:type="dxa"/>
          </w:tblCellMar>
        </w:tblPrEx>
        <w:trPr>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（十七）金融支出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
            </w:r>
          </w:p>
        </w:tc>
      </w:tr>
      <w:tr>
        <w:tblPrEx>
          <w:tblCellMar>
            <w:top w:w="55" w:type="dxa"/>
            <w:left w:w="55" w:type="dxa"/>
            <w:bottom w:w="55" w:type="dxa"/>
            <w:right w:w="55" w:type="dxa"/>
          </w:tblCellMar>
        </w:tblPrEx>
        <w:trPr>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 xml:space="preserve">（十八）援助其他地区支出 </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
            </w:r>
          </w:p>
        </w:tc>
      </w:tr>
      <w:tr>
        <w:tblPrEx>
          <w:tblCellMar>
            <w:top w:w="55" w:type="dxa"/>
            <w:left w:w="55" w:type="dxa"/>
            <w:bottom w:w="55" w:type="dxa"/>
            <w:right w:w="55" w:type="dxa"/>
          </w:tblCellMar>
        </w:tblPrEx>
        <w:trPr>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（十九）自然资源海洋气象等支出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
            </w:r>
          </w:p>
        </w:tc>
      </w:tr>
      <w:tr>
        <w:tblPrEx>
          <w:tblCellMar>
            <w:top w:w="55" w:type="dxa"/>
            <w:left w:w="55" w:type="dxa"/>
            <w:bottom w:w="55" w:type="dxa"/>
            <w:right w:w="55" w:type="dxa"/>
          </w:tblCellMar>
        </w:tblPrEx>
        <w:trPr>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（二十）住房保障支出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139.60</w:t>
            </w:r>
          </w:p>
        </w:tc>
      </w:tr>
      <w:tr>
        <w:tblPrEx>
          <w:tblCellMar>
            <w:top w:w="55" w:type="dxa"/>
            <w:left w:w="55" w:type="dxa"/>
            <w:bottom w:w="55" w:type="dxa"/>
            <w:right w:w="55" w:type="dxa"/>
          </w:tblCellMar>
        </w:tblPrEx>
        <w:trPr>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（二十一）粮油物资储备支出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
            </w:r>
          </w:p>
        </w:tc>
      </w:tr>
      <w:tr>
        <w:tblPrEx>
          <w:tblCellMar>
            <w:top w:w="55" w:type="dxa"/>
            <w:left w:w="55" w:type="dxa"/>
            <w:bottom w:w="55" w:type="dxa"/>
            <w:right w:w="55" w:type="dxa"/>
          </w:tblCellMar>
        </w:tblPrEx>
        <w:trPr>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（二十二）国有资本经营预算支出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
            </w:r>
          </w:p>
        </w:tc>
      </w:tr>
      <w:tr>
        <w:tblPrEx>
          <w:tblCellMar>
            <w:top w:w="55" w:type="dxa"/>
            <w:left w:w="55" w:type="dxa"/>
            <w:bottom w:w="55" w:type="dxa"/>
            <w:right w:w="55" w:type="dxa"/>
          </w:tblCellMar>
        </w:tblPrEx>
        <w:trPr>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（二十三）灾害防治及应急管理支出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
            </w:r>
          </w:p>
        </w:tc>
      </w:tr>
      <w:tr>
        <w:tblPrEx>
          <w:tblCellMar>
            <w:top w:w="55" w:type="dxa"/>
            <w:left w:w="55" w:type="dxa"/>
            <w:bottom w:w="55" w:type="dxa"/>
            <w:right w:w="55" w:type="dxa"/>
          </w:tblCellMar>
        </w:tblPrEx>
        <w:trPr>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（二十四）预备费</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
            </w:r>
          </w:p>
        </w:tc>
      </w:tr>
      <w:tr>
        <w:tblPrEx>
          <w:tblCellMar>
            <w:top w:w="55" w:type="dxa"/>
            <w:left w:w="55" w:type="dxa"/>
            <w:bottom w:w="55" w:type="dxa"/>
            <w:right w:w="55" w:type="dxa"/>
          </w:tblCellMar>
        </w:tblPrEx>
        <w:trPr>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（二十五）其他支出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
            </w:r>
          </w:p>
        </w:tc>
      </w:tr>
      <w:tr>
        <w:tblPrEx>
          <w:tblCellMar>
            <w:top w:w="55" w:type="dxa"/>
            <w:left w:w="55" w:type="dxa"/>
            <w:bottom w:w="55" w:type="dxa"/>
            <w:right w:w="55" w:type="dxa"/>
          </w:tblCellMar>
        </w:tblPrEx>
        <w:trPr>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（二十六）转移性支出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
            </w:r>
          </w:p>
        </w:tc>
      </w:tr>
      <w:tr>
        <w:tblPrEx>
          <w:tblCellMar>
            <w:top w:w="55" w:type="dxa"/>
            <w:left w:w="55" w:type="dxa"/>
            <w:bottom w:w="55" w:type="dxa"/>
            <w:right w:w="55" w:type="dxa"/>
          </w:tblCellMar>
        </w:tblPrEx>
        <w:trPr>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（二十七）债务还本支出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
            </w:r>
          </w:p>
        </w:tc>
      </w:tr>
      <w:tr>
        <w:tblPrEx>
          <w:tblCellMar>
            <w:top w:w="55" w:type="dxa"/>
            <w:left w:w="55" w:type="dxa"/>
            <w:bottom w:w="55" w:type="dxa"/>
            <w:right w:w="55" w:type="dxa"/>
          </w:tblCellMar>
        </w:tblPrEx>
        <w:trPr>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（二十八）债务付息支出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
            </w:r>
          </w:p>
        </w:tc>
      </w:tr>
      <w:tr>
        <w:tblPrEx>
          <w:tblCellMar>
            <w:top w:w="55" w:type="dxa"/>
            <w:left w:w="55" w:type="dxa"/>
            <w:bottom w:w="55" w:type="dxa"/>
            <w:right w:w="55" w:type="dxa"/>
          </w:tblCellMar>
        </w:tblPrEx>
        <w:trPr>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（二十九）债务发行费用支出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
            </w:r>
          </w:p>
        </w:tc>
      </w:tr>
      <w:tr>
        <w:tblPrEx>
          <w:tblCellMar>
            <w:top w:w="55" w:type="dxa"/>
            <w:left w:w="55" w:type="dxa"/>
            <w:bottom w:w="55" w:type="dxa"/>
            <w:right w:w="55" w:type="dxa"/>
          </w:tblCellMar>
        </w:tblPrEx>
        <w:trPr>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（三十）抗疫特别国债安排的支出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
            </w:r>
          </w:p>
        </w:tc>
      </w:tr>
      <w:tr>
        <w:tblPrEx>
          <w:tblCellMar>
            <w:top w:w="55" w:type="dxa"/>
            <w:left w:w="55" w:type="dxa"/>
            <w:bottom w:w="55" w:type="dxa"/>
            <w:right w:w="55" w:type="dxa"/>
          </w:tblCellMar>
        </w:tblPrEx>
        <w:trPr>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二、年终结转结余</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96" w:hRule="exact"/>
        </w:trPr>
        <w:tc>
          <w:tcPr>
            <w:tcW w:w="3987"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b/>
                <w:bCs/>
                <w:sz w:val="22"/>
                <w:szCs w:val="22"/>
                <w:lang w:val="en-US" w:eastAsia="zh-CN"/>
              </w:rPr>
              <w:t>收入</w:t>
            </w:r>
            <w:r>
              <w:rPr>
                <w:rFonts w:hint="eastAsia" w:ascii="仿宋" w:hAnsi="仿宋" w:eastAsia="仿宋" w:cs="仿宋"/>
                <w:b/>
                <w:bCs/>
                <w:sz w:val="22"/>
                <w:szCs w:val="22"/>
              </w:rPr>
              <w:t>总计</w:t>
            </w:r>
          </w:p>
        </w:tc>
        <w:tc>
          <w:tcPr>
            <w:tcW w:w="3960"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886.17</w:t>
            </w:r>
          </w:p>
        </w:tc>
        <w:tc>
          <w:tcPr>
            <w:tcW w:w="3943"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b/>
                <w:bCs/>
                <w:sz w:val="22"/>
                <w:szCs w:val="22"/>
                <w:lang w:val="en-US" w:eastAsia="zh-CN"/>
              </w:rPr>
              <w:t>支出</w:t>
            </w:r>
            <w:r>
              <w:rPr>
                <w:rFonts w:hint="eastAsia" w:ascii="仿宋" w:hAnsi="仿宋" w:eastAsia="仿宋" w:cs="仿宋"/>
                <w:b/>
                <w:bCs/>
                <w:sz w:val="22"/>
                <w:szCs w:val="22"/>
              </w:rPr>
              <w:t>总计</w:t>
            </w:r>
          </w:p>
        </w:tc>
        <w:tc>
          <w:tcPr>
            <w:tcW w:w="3899" w:type="dxa"/>
            <w:tcBorders>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886.17</w:t>
            </w:r>
          </w:p>
        </w:tc>
      </w:tr>
    </w:tbl>
    <w:p>
      <w:pPr>
        <w:ind w:left="-220" w:leftChars="-100" w:firstLine="0" w:firstLineChars="0"/>
        <w:rPr>
          <w:rFonts w:hint="eastAsia" w:ascii="仿宋" w:hAnsi="仿宋" w:eastAsia="仿宋" w:cs="仿宋"/>
          <w:b/>
          <w:bCs/>
        </w:rPr>
        <w:sectPr>
          <w:footerReference r:id="rId11" w:type="default"/>
          <w:pgSz w:w="16838" w:h="11906" w:orient="landscape"/>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5216" w:type="dxa"/>
        <w:tblInd w:w="175" w:type="dxa"/>
        <w:tblLayout w:type="fixed"/>
        <w:tblCellMar>
          <w:top w:w="55" w:type="dxa"/>
          <w:left w:w="55" w:type="dxa"/>
          <w:bottom w:w="55" w:type="dxa"/>
          <w:right w:w="55" w:type="dxa"/>
        </w:tblCellMar>
      </w:tblPr>
      <w:tblGrid>
        <w:gridCol w:w="1846"/>
        <w:gridCol w:w="4213"/>
        <w:gridCol w:w="2040"/>
        <w:gridCol w:w="1827"/>
        <w:gridCol w:w="1813"/>
        <w:gridCol w:w="1813"/>
        <w:gridCol w:w="1664"/>
      </w:tblGrid>
      <w:tr>
        <w:tblPrEx>
          <w:tblCellMar>
            <w:top w:w="55" w:type="dxa"/>
            <w:left w:w="55" w:type="dxa"/>
            <w:bottom w:w="55" w:type="dxa"/>
            <w:right w:w="55" w:type="dxa"/>
          </w:tblCellMar>
        </w:tblPrEx>
        <w:trPr>
          <w:trHeight w:val="321" w:hRule="atLeast"/>
        </w:trPr>
        <w:tc>
          <w:tcPr>
            <w:tcW w:w="15216" w:type="dxa"/>
            <w:gridSpan w:val="7"/>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b/>
                <w:bCs/>
                <w:sz w:val="44"/>
                <w:szCs w:val="44"/>
              </w:rPr>
            </w:pPr>
            <w:r>
              <w:rPr>
                <w:rFonts w:hint="eastAsia" w:ascii="仿宋" w:hAnsi="仿宋" w:eastAsia="仿宋" w:cs="仿宋"/>
              </w:rPr>
              <w:t>公开05表</w:t>
            </w:r>
          </w:p>
        </w:tc>
      </w:tr>
      <w:tr>
        <w:tblPrEx>
          <w:tblCellMar>
            <w:top w:w="55" w:type="dxa"/>
            <w:left w:w="55" w:type="dxa"/>
            <w:bottom w:w="55" w:type="dxa"/>
            <w:right w:w="55" w:type="dxa"/>
          </w:tblCellMar>
        </w:tblPrEx>
        <w:trPr>
          <w:trHeight w:val="321" w:hRule="atLeast"/>
        </w:trPr>
        <w:tc>
          <w:tcPr>
            <w:tcW w:w="15216" w:type="dxa"/>
            <w:gridSpan w:val="7"/>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27"/>
              </w:rPr>
            </w:pPr>
            <w:r>
              <w:rPr>
                <w:rFonts w:hint="eastAsia" w:ascii="仿宋" w:hAnsi="仿宋" w:eastAsia="仿宋" w:cs="仿宋"/>
                <w:b/>
                <w:bCs/>
                <w:sz w:val="44"/>
                <w:szCs w:val="44"/>
              </w:rPr>
              <w:t>财政拨款支出表（功能科目）</w:t>
            </w:r>
          </w:p>
        </w:tc>
      </w:tr>
      <w:tr>
        <w:tblPrEx>
          <w:tblCellMar>
            <w:top w:w="55" w:type="dxa"/>
            <w:left w:w="55" w:type="dxa"/>
            <w:bottom w:w="55" w:type="dxa"/>
            <w:right w:w="55" w:type="dxa"/>
          </w:tblCellMar>
        </w:tblPrEx>
        <w:trPr>
          <w:trHeight w:val="309" w:hRule="atLeast"/>
        </w:trPr>
        <w:tc>
          <w:tcPr>
            <w:tcW w:w="13552" w:type="dxa"/>
            <w:gridSpan w:val="6"/>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7"/>
              </w:rPr>
            </w:pPr>
            <w:r>
              <w:rPr>
                <w:rFonts w:hint="eastAsia" w:ascii="仿宋" w:hAnsi="仿宋" w:eastAsia="仿宋" w:cs="仿宋"/>
                <w:color w:val="000000"/>
                <w:sz w:val="22"/>
                <w:szCs w:val="22"/>
                <w:lang w:eastAsia="zh-CN"/>
              </w:rPr>
              <w:t>部门</w:t>
            </w:r>
            <w:r>
              <w:rPr>
                <w:rFonts w:ascii="仿宋" w:hAnsi="仿宋" w:cs="仿宋" w:eastAsia="仿宋"/>
                <w:color w:val="000000"/>
                <w:sz w:val="22"/>
              </w:rPr>
              <w:t>：</w:t>
            </w:r>
            <w:r>
              <w:rPr>
                <w:rFonts w:hint="eastAsia" w:ascii="仿宋" w:hAnsi="仿宋" w:eastAsia="仿宋" w:cs="仿宋"/>
              </w:rPr>
              <w:t>无锡市滨湖区公共资源交易中心</w:t>
            </w:r>
          </w:p>
        </w:tc>
        <w:tc>
          <w:tcPr>
            <w:tcW w:w="1664" w:type="dxa"/>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7"/>
              </w:rPr>
            </w:pPr>
            <w:r>
              <w:rPr>
                <w:rFonts w:hint="eastAsia" w:ascii="仿宋" w:hAnsi="仿宋" w:eastAsia="仿宋" w:cs="仿宋"/>
                <w:lang w:eastAsia="zh-CN"/>
              </w:rPr>
              <w:t>单位</w:t>
            </w:r>
            <w:r>
              <w:rPr>
                <w:rFonts w:hint="eastAsia" w:ascii="仿宋" w:hAnsi="仿宋" w:eastAsia="仿宋" w:cs="仿宋"/>
              </w:rPr>
              <w:t>：万元</w:t>
            </w:r>
          </w:p>
        </w:tc>
      </w:tr>
      <w:tr>
        <w:tblPrEx>
          <w:tblCellMar>
            <w:top w:w="55" w:type="dxa"/>
            <w:left w:w="55" w:type="dxa"/>
            <w:bottom w:w="55" w:type="dxa"/>
            <w:right w:w="55" w:type="dxa"/>
          </w:tblCellMar>
        </w:tblPrEx>
        <w:trPr>
          <w:trHeight w:val="319" w:hRule="atLeast"/>
        </w:trPr>
        <w:tc>
          <w:tcPr>
            <w:tcW w:w="1846" w:type="dxa"/>
            <w:vMerge w:val="restart"/>
            <w:tcBorders>
              <w:top w:val="single" w:color="000000" w:sz="6" w:space="0"/>
              <w:lef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22"/>
                <w:szCs w:val="22"/>
              </w:rPr>
            </w:pPr>
            <w:r>
              <w:rPr>
                <w:rFonts w:hint="eastAsia" w:ascii="仿宋" w:hAnsi="仿宋" w:eastAsia="仿宋" w:cs="仿宋"/>
                <w:sz w:val="22"/>
                <w:szCs w:val="22"/>
              </w:rPr>
              <w:t>科目编码</w:t>
            </w:r>
          </w:p>
        </w:tc>
        <w:tc>
          <w:tcPr>
            <w:tcW w:w="4213" w:type="dxa"/>
            <w:vMerge w:val="restart"/>
            <w:tcBorders>
              <w:top w:val="single" w:color="000000" w:sz="6" w:space="0"/>
              <w:lef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22"/>
                <w:szCs w:val="22"/>
              </w:rPr>
            </w:pPr>
            <w:r>
              <w:rPr>
                <w:rFonts w:hint="eastAsia" w:ascii="仿宋" w:hAnsi="仿宋" w:eastAsia="仿宋" w:cs="仿宋"/>
                <w:sz w:val="22"/>
                <w:szCs w:val="22"/>
              </w:rPr>
              <w:t>科目名称</w:t>
            </w:r>
          </w:p>
        </w:tc>
        <w:tc>
          <w:tcPr>
            <w:tcW w:w="2040" w:type="dxa"/>
            <w:vMerge w:val="restart"/>
            <w:tcBorders>
              <w:top w:val="single" w:color="000000" w:sz="6" w:space="0"/>
              <w:lef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22"/>
                <w:szCs w:val="22"/>
              </w:rPr>
            </w:pPr>
            <w:r>
              <w:rPr>
                <w:rFonts w:hint="eastAsia" w:ascii="仿宋" w:hAnsi="仿宋" w:eastAsia="仿宋" w:cs="仿宋"/>
                <w:sz w:val="22"/>
                <w:szCs w:val="22"/>
              </w:rPr>
              <w:t>合计</w:t>
            </w:r>
          </w:p>
        </w:tc>
        <w:tc>
          <w:tcPr>
            <w:tcW w:w="5453" w:type="dxa"/>
            <w:gridSpan w:val="3"/>
            <w:tcBorders>
              <w:top w:val="single" w:color="000000" w:sz="6" w:space="0"/>
              <w:left w:val="single" w:color="000000" w:sz="6" w:space="0"/>
              <w:bottom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22"/>
                <w:szCs w:val="22"/>
              </w:rPr>
            </w:pPr>
            <w:r>
              <w:rPr>
                <w:rFonts w:hint="eastAsia" w:ascii="仿宋" w:hAnsi="仿宋" w:eastAsia="仿宋" w:cs="仿宋"/>
                <w:sz w:val="22"/>
                <w:szCs w:val="22"/>
              </w:rPr>
              <w:t>基本支出</w:t>
            </w:r>
          </w:p>
        </w:tc>
        <w:tc>
          <w:tcPr>
            <w:tcW w:w="1664" w:type="dxa"/>
            <w:vMerge w:val="restart"/>
            <w:tcBorders>
              <w:top w:val="single" w:color="000000" w:sz="6" w:space="0"/>
              <w:left w:val="single" w:color="000000" w:sz="6" w:space="0"/>
              <w:righ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22"/>
                <w:szCs w:val="22"/>
              </w:rPr>
            </w:pPr>
            <w:r>
              <w:rPr>
                <w:rFonts w:hint="eastAsia" w:ascii="仿宋" w:hAnsi="仿宋" w:eastAsia="仿宋" w:cs="仿宋"/>
                <w:sz w:val="22"/>
                <w:szCs w:val="22"/>
              </w:rPr>
              <w:t>项目支出</w:t>
            </w:r>
          </w:p>
        </w:tc>
      </w:tr>
      <w:tr>
        <w:tblPrEx>
          <w:tblCellMar>
            <w:top w:w="55" w:type="dxa"/>
            <w:left w:w="55" w:type="dxa"/>
            <w:bottom w:w="55" w:type="dxa"/>
            <w:right w:w="55" w:type="dxa"/>
          </w:tblCellMar>
        </w:tblPrEx>
        <w:trPr>
          <w:trHeight w:val="296" w:hRule="atLeast"/>
        </w:trPr>
        <w:tc>
          <w:tcPr>
            <w:tcW w:w="1846" w:type="dxa"/>
            <w:vMerge w:val="continue"/>
            <w:tcBorders>
              <w:left w:val="single" w:color="000000" w:sz="6" w:space="0"/>
              <w:bottom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22"/>
                <w:szCs w:val="22"/>
              </w:rPr>
            </w:pPr>
          </w:p>
        </w:tc>
        <w:tc>
          <w:tcPr>
            <w:tcW w:w="4213" w:type="dxa"/>
            <w:vMerge w:val="continue"/>
            <w:tcBorders>
              <w:left w:val="single" w:color="000000" w:sz="6" w:space="0"/>
              <w:bottom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22"/>
                <w:szCs w:val="22"/>
              </w:rPr>
            </w:pPr>
          </w:p>
        </w:tc>
        <w:tc>
          <w:tcPr>
            <w:tcW w:w="2040" w:type="dxa"/>
            <w:vMerge w:val="continue"/>
            <w:tcBorders>
              <w:left w:val="single" w:color="000000" w:sz="6" w:space="0"/>
              <w:bottom w:val="single" w:color="000000" w:sz="6" w:space="0"/>
            </w:tcBorders>
          </w:tcPr>
          <w:p>
            <w:pPr>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p>
        </w:tc>
        <w:tc>
          <w:tcPr>
            <w:tcW w:w="1827" w:type="dxa"/>
            <w:tcBorders>
              <w:left w:val="single" w:color="000000" w:sz="6" w:space="0"/>
              <w:bottom w:val="single" w:color="000000" w:sz="6" w:space="0"/>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34" w:afterAutospacing="0" w:line="34" w:lineRule="atLeast"/>
              <w:ind w:left="0" w:leftChars="0" w:right="0" w:rightChars="0"/>
              <w:jc w:val="center"/>
              <w:textAlignment w:val="auto"/>
              <w:rPr>
                <w:rFonts w:hint="default"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小计</w:t>
            </w:r>
          </w:p>
        </w:tc>
        <w:tc>
          <w:tcPr>
            <w:tcW w:w="1813" w:type="dxa"/>
            <w:tcBorders>
              <w:left w:val="single" w:color="000000" w:sz="6" w:space="0"/>
              <w:bottom w:val="single" w:color="000000" w:sz="6" w:space="0"/>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34" w:afterAutospacing="0" w:line="34" w:lineRule="atLeast"/>
              <w:ind w:left="0" w:leftChars="0" w:right="0" w:rightChars="0"/>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en-US" w:eastAsia="zh-CN" w:bidi="zh-CN"/>
              </w:rPr>
              <w:t>人员经费</w:t>
            </w:r>
          </w:p>
        </w:tc>
        <w:tc>
          <w:tcPr>
            <w:tcW w:w="1813" w:type="dxa"/>
            <w:tcBorders>
              <w:left w:val="single" w:color="000000" w:sz="6" w:space="0"/>
              <w:bottom w:val="single" w:color="000000" w:sz="6" w:space="0"/>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34" w:afterAutospacing="0" w:line="34" w:lineRule="atLeast"/>
              <w:ind w:left="0" w:leftChars="0" w:right="0" w:rightChars="0"/>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en-US" w:eastAsia="zh-CN" w:bidi="zh-CN"/>
              </w:rPr>
              <w:t>公用经费</w:t>
            </w:r>
          </w:p>
        </w:tc>
        <w:tc>
          <w:tcPr>
            <w:tcW w:w="1664" w:type="dxa"/>
            <w:vMerge w:val="continue"/>
            <w:tcBorders>
              <w:left w:val="single" w:color="000000" w:sz="6" w:space="0"/>
              <w:bottom w:val="single" w:color="000000" w:sz="6" w:space="0"/>
              <w:right w:val="single" w:color="000000" w:sz="6" w:space="0"/>
            </w:tcBorders>
          </w:tcPr>
          <w:p>
            <w:pPr>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p>
        </w:tc>
      </w:tr>
      <w:tr>
        <w:tblPrEx>
          <w:tblCellMar>
            <w:top w:w="55" w:type="dxa"/>
            <w:left w:w="55" w:type="dxa"/>
            <w:bottom w:w="55" w:type="dxa"/>
            <w:right w:w="55" w:type="dxa"/>
          </w:tblCellMar>
        </w:tblPrEx>
        <w:trPr>
          <w:trHeight w:val="350" w:hRule="exact"/>
        </w:trPr>
        <w:tc>
          <w:tcPr>
            <w:tcW w:w="6059" w:type="dxa"/>
            <w:gridSpan w:val="2"/>
            <w:tcBorders>
              <w:left w:val="single" w:color="000000" w:sz="6" w:space="0"/>
              <w:bottom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22"/>
                <w:szCs w:val="22"/>
              </w:rPr>
            </w:pPr>
            <w:r>
              <w:rPr>
                <w:rFonts w:hint="eastAsia" w:ascii="仿宋" w:hAnsi="仿宋" w:eastAsia="仿宋" w:cs="仿宋"/>
                <w:sz w:val="22"/>
                <w:szCs w:val="22"/>
              </w:rPr>
              <w:t/>
            </w:r>
            <w:r>
              <w:rPr>
                <w:rFonts w:hint="eastAsia" w:ascii="仿宋" w:hAnsi="仿宋" w:eastAsia="仿宋" w:cs="仿宋"/>
                <w:sz w:val="22"/>
                <w:szCs w:val="22"/>
              </w:rPr>
              <w:t>合计</w:t>
            </w:r>
          </w:p>
        </w:tc>
        <w:tc>
          <w:tcPr>
            <w:tcW w:w="2040" w:type="dxa"/>
            <w:tcBorders>
              <w:left w:val="single" w:color="000000" w:sz="6" w:space="0"/>
              <w:bottom w:val="single" w:color="000000" w:sz="6" w:space="0"/>
            </w:tcBorders>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886.17</w:t>
            </w:r>
          </w:p>
        </w:tc>
        <w:tc>
          <w:tcPr>
            <w:tcW w:w="1827" w:type="dxa"/>
            <w:tcBorders>
              <w:left w:val="single" w:color="000000" w:sz="6" w:space="0"/>
              <w:bottom w:val="single" w:color="000000" w:sz="6" w:space="0"/>
            </w:tcBorders>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661.17</w:t>
            </w:r>
          </w:p>
        </w:tc>
        <w:tc>
          <w:tcPr>
            <w:tcW w:w="1813" w:type="dxa"/>
            <w:tcBorders>
              <w:left w:val="single" w:color="000000" w:sz="6" w:space="0"/>
              <w:bottom w:val="single" w:color="000000" w:sz="6" w:space="0"/>
            </w:tcBorders>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622.55</w:t>
            </w:r>
          </w:p>
        </w:tc>
        <w:tc>
          <w:tcPr>
            <w:tcW w:w="1813" w:type="dxa"/>
            <w:tcBorders>
              <w:left w:val="single" w:color="000000" w:sz="6" w:space="0"/>
              <w:bottom w:val="single" w:color="000000" w:sz="6" w:space="0"/>
            </w:tcBorders>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38.62</w:t>
            </w:r>
          </w:p>
        </w:tc>
        <w:tc>
          <w:tcPr>
            <w:tcW w:w="1664" w:type="dxa"/>
            <w:tcBorders>
              <w:left w:val="single" w:color="000000" w:sz="6" w:space="0"/>
              <w:bottom w:val="single" w:color="000000" w:sz="6" w:space="0"/>
              <w:right w:val="single" w:color="000000" w:sz="6" w:space="0"/>
            </w:tcBorders>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225.00</w:t>
            </w:r>
          </w:p>
        </w:tc>
      </w:tr>
      <w:tr>
        <w:tblPrEx>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201</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一般公共服务支出</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441.83</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441.83</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403.21</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38.62</w:t>
            </w: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 xml:space="preserve">  20103</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政府办公厅（室）及相关机构事务</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441.83</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441.83</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403.21</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38.62</w:t>
            </w: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 xml:space="preserve">    2010350</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事业运行</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397.83</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397.83</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359.21</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38.62</w:t>
            </w: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 xml:space="preserve">    2010399</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其他政府办公厅（室）及相关机构事务支出</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44.00</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44.00</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44.00</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
            </w: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208</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社会保障和就业支出</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60.06</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60.06</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60.06</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
            </w: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 xml:space="preserve">  20805</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行政事业单位养老支出</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60.06</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60.06</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60.06</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
            </w: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 xml:space="preserve">    2080505</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机关事业单位基本养老保险缴费支出</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40.04</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40.04</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40.04</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
            </w: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 xml:space="preserve">    2080506</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机关事业单位职业年金缴费支出</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20.02</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20.02</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20.02</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
            </w: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210</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卫生健康支出</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19.68</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19.68</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19.68</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
            </w: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 xml:space="preserve">  21011</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行政事业单位医疗</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19.68</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19.68</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19.68</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
            </w: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 xml:space="preserve">    2101102</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事业单位医疗</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19.68</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19.68</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19.68</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
            </w: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215</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资源勘探工业信息等支出</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225.00</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
            </w: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225.00</w:t>
            </w:r>
          </w:p>
        </w:tc>
      </w:tr>
      <w:tr>
        <w:tblPrEx>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 xml:space="preserve">  21507</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国有资产监管</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225.00</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
            </w: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225.00</w:t>
            </w:r>
          </w:p>
        </w:tc>
      </w:tr>
      <w:tr>
        <w:tblPrEx>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 xml:space="preserve">    2150799</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其他国有资产监管支出</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225.00</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
            </w: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225.00</w:t>
            </w:r>
          </w:p>
        </w:tc>
      </w:tr>
      <w:tr>
        <w:tblPrEx>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221</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住房保障支出</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139.60</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139.60</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139.60</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
            </w: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 xml:space="preserve">  22102</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住房改革支出</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139.60</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139.60</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139.60</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
            </w: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 xml:space="preserve">    2210201</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住房公积金</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44.09</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44.09</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44.09</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
            </w: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 xml:space="preserve">    2210202</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提租补贴</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27.95</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27.95</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27.95</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
            </w: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 xml:space="preserve">    2210203</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购房补贴</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67.56</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67.56</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67.56</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
            </w: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
            </w:r>
          </w:p>
        </w:tc>
      </w:tr>
    </w:tbl>
    <w:p>
      <w:pPr>
        <w:widowControl w:val="0"/>
        <w:numPr>
          <w:ilvl w:val="0"/>
          <w:numId w:val="0"/>
        </w:numPr>
        <w:tabs>
          <w:tab w:val="left" w:pos="55"/>
        </w:tabs>
        <w:suppressAutoHyphens/>
        <w:bidi w:val="0"/>
        <w:spacing w:before="0" w:after="0"/>
        <w:ind w:right="0" w:rightChars="0"/>
        <w:jc w:val="both"/>
        <w:rPr>
          <w:rFonts w:hint="eastAsia" w:ascii="仿宋" w:hAnsi="仿宋" w:eastAsia="仿宋" w:cs="仿宋"/>
          <w:b/>
          <w:bCs/>
        </w:rPr>
        <w:sectPr>
          <w:footerReference r:id="rId12" w:type="default"/>
          <w:pgSz w:w="16838" w:h="11906" w:orient="landscape"/>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p>
      <w:pPr>
        <w:rPr>
          <w:rFonts w:hint="eastAsia" w:ascii="仿宋" w:hAnsi="仿宋" w:eastAsia="仿宋" w:cs="仿宋"/>
          <w:sz w:val="20"/>
        </w:rPr>
      </w:pPr>
    </w:p>
    <w:tbl>
      <w:tblPr>
        <w:tblStyle w:val="12"/>
        <w:tblW w:w="10817" w:type="dxa"/>
        <w:tblInd w:w="-103" w:type="dxa"/>
        <w:tblLayout w:type="fixed"/>
        <w:tblCellMar>
          <w:top w:w="55" w:type="dxa"/>
          <w:left w:w="55" w:type="dxa"/>
          <w:bottom w:w="55" w:type="dxa"/>
          <w:right w:w="55" w:type="dxa"/>
        </w:tblCellMar>
      </w:tblPr>
      <w:tblGrid>
        <w:gridCol w:w="1131"/>
        <w:gridCol w:w="3542"/>
        <w:gridCol w:w="2047"/>
        <w:gridCol w:w="2040"/>
        <w:gridCol w:w="2057"/>
      </w:tblGrid>
      <w:tr>
        <w:tblPrEx>
          <w:tblCellMar>
            <w:top w:w="55" w:type="dxa"/>
            <w:left w:w="55" w:type="dxa"/>
            <w:bottom w:w="55" w:type="dxa"/>
            <w:right w:w="55" w:type="dxa"/>
          </w:tblCellMar>
        </w:tblPrEx>
        <w:trPr>
          <w:trHeight w:val="319" w:hRule="atLeast"/>
        </w:trPr>
        <w:tc>
          <w:tcPr>
            <w:tcW w:w="10817" w:type="dxa"/>
            <w:gridSpan w:val="5"/>
            <w:vAlign w:val="center"/>
          </w:tcPr>
          <w:p>
            <w:pPr>
              <w:pStyle w:val="22"/>
              <w:widowControl w:val="0"/>
              <w:jc w:val="left"/>
              <w:rPr>
                <w:rFonts w:hint="eastAsia" w:ascii="仿宋" w:hAnsi="仿宋" w:eastAsia="仿宋" w:cs="仿宋"/>
                <w:b/>
                <w:bCs/>
                <w:sz w:val="44"/>
                <w:szCs w:val="44"/>
              </w:rPr>
            </w:pPr>
            <w:r>
              <w:rPr>
                <w:rFonts w:hint="eastAsia" w:ascii="仿宋" w:hAnsi="仿宋" w:eastAsia="仿宋" w:cs="仿宋"/>
              </w:rPr>
              <w:t>公开06表</w:t>
            </w:r>
          </w:p>
        </w:tc>
      </w:tr>
      <w:tr>
        <w:tblPrEx>
          <w:tblCellMar>
            <w:top w:w="55" w:type="dxa"/>
            <w:left w:w="55" w:type="dxa"/>
            <w:bottom w:w="55" w:type="dxa"/>
            <w:right w:w="55" w:type="dxa"/>
          </w:tblCellMar>
        </w:tblPrEx>
        <w:trPr>
          <w:trHeight w:val="319" w:hRule="atLeast"/>
        </w:trPr>
        <w:tc>
          <w:tcPr>
            <w:tcW w:w="10817" w:type="dxa"/>
            <w:gridSpan w:val="5"/>
          </w:tcPr>
          <w:p>
            <w:pPr>
              <w:pStyle w:val="22"/>
              <w:widowControl w:val="0"/>
              <w:jc w:val="center"/>
              <w:rPr>
                <w:rFonts w:hint="eastAsia" w:ascii="仿宋" w:hAnsi="仿宋" w:eastAsia="仿宋" w:cs="仿宋"/>
                <w:sz w:val="20"/>
              </w:rPr>
            </w:pPr>
            <w:r>
              <w:rPr>
                <w:rFonts w:hint="eastAsia" w:ascii="仿宋" w:hAnsi="仿宋" w:eastAsia="仿宋" w:cs="仿宋"/>
                <w:b/>
                <w:bCs/>
                <w:sz w:val="44"/>
                <w:szCs w:val="44"/>
              </w:rPr>
              <w:t>财政拨款基本支出表（经济科目）</w:t>
            </w:r>
          </w:p>
        </w:tc>
      </w:tr>
      <w:tr>
        <w:tblPrEx>
          <w:tblCellMar>
            <w:top w:w="55" w:type="dxa"/>
            <w:left w:w="55" w:type="dxa"/>
            <w:bottom w:w="55" w:type="dxa"/>
            <w:right w:w="55" w:type="dxa"/>
          </w:tblCellMar>
        </w:tblPrEx>
        <w:trPr>
          <w:trHeight w:val="319" w:hRule="atLeast"/>
        </w:trPr>
        <w:tc>
          <w:tcPr>
            <w:tcW w:w="8760" w:type="dxa"/>
            <w:gridSpan w:val="4"/>
          </w:tcPr>
          <w:p>
            <w:pPr>
              <w:pStyle w:val="22"/>
              <w:widowControl w:val="0"/>
              <w:rPr>
                <w:rFonts w:hint="eastAsia" w:ascii="仿宋" w:hAnsi="仿宋" w:eastAsia="仿宋" w:cs="仿宋"/>
                <w:sz w:val="22"/>
                <w:szCs w:val="22"/>
              </w:rPr>
            </w:pPr>
            <w:r>
              <w:rPr>
                <w:rFonts w:hint="eastAsia" w:ascii="仿宋" w:hAnsi="仿宋" w:eastAsia="仿宋" w:cs="仿宋"/>
                <w:color w:val="000000"/>
                <w:sz w:val="22"/>
                <w:szCs w:val="22"/>
                <w:lang w:eastAsia="zh-CN"/>
              </w:rPr>
              <w:t>部门</w:t>
            </w:r>
            <w:r>
              <w:rPr>
                <w:rFonts w:ascii="仿宋" w:hAnsi="仿宋" w:cs="仿宋" w:eastAsia="仿宋"/>
                <w:color w:val="000000"/>
                <w:sz w:val="22"/>
              </w:rPr>
              <w:t>：</w:t>
            </w:r>
            <w:r>
              <w:rPr>
                <w:rFonts w:hint="eastAsia" w:ascii="仿宋" w:hAnsi="仿宋" w:eastAsia="仿宋" w:cs="仿宋"/>
                <w:sz w:val="22"/>
                <w:szCs w:val="22"/>
              </w:rPr>
              <w:t>无锡市滨湖区公共资源交易中心</w:t>
            </w:r>
          </w:p>
        </w:tc>
        <w:tc>
          <w:tcPr>
            <w:tcW w:w="2057" w:type="dxa"/>
            <w:vAlign w:val="center"/>
          </w:tcPr>
          <w:p>
            <w:pPr>
              <w:pStyle w:val="22"/>
              <w:widowControl w:val="0"/>
              <w:jc w:val="right"/>
              <w:rPr>
                <w:rFonts w:hint="eastAsia" w:ascii="仿宋" w:hAnsi="仿宋" w:eastAsia="仿宋" w:cs="仿宋"/>
                <w:sz w:val="20"/>
              </w:rPr>
            </w:pPr>
            <w:r>
              <w:rPr>
                <w:rFonts w:hint="eastAsia" w:ascii="仿宋" w:hAnsi="仿宋" w:eastAsia="仿宋" w:cs="仿宋"/>
                <w:lang w:eastAsia="zh-CN"/>
              </w:rPr>
              <w:t>单位</w:t>
            </w:r>
            <w:r>
              <w:rPr>
                <w:rFonts w:hint="eastAsia" w:ascii="仿宋" w:hAnsi="仿宋" w:eastAsia="仿宋" w:cs="仿宋"/>
              </w:rPr>
              <w:t>：万元</w:t>
            </w:r>
          </w:p>
        </w:tc>
      </w:tr>
      <w:tr>
        <w:tblPrEx>
          <w:tblCellMar>
            <w:top w:w="55" w:type="dxa"/>
            <w:left w:w="55" w:type="dxa"/>
            <w:bottom w:w="55" w:type="dxa"/>
            <w:right w:w="55" w:type="dxa"/>
          </w:tblCellMar>
        </w:tblPrEx>
        <w:trPr>
          <w:trHeight w:val="243" w:hRule="atLeast"/>
        </w:trPr>
        <w:tc>
          <w:tcPr>
            <w:tcW w:w="4673"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部门预算支出经济分类科目</w:t>
            </w:r>
          </w:p>
        </w:tc>
        <w:tc>
          <w:tcPr>
            <w:tcW w:w="614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sz w:val="20"/>
              </w:rPr>
            </w:pPr>
            <w:r>
              <w:rPr>
                <w:rFonts w:hint="eastAsia" w:ascii="仿宋" w:hAnsi="仿宋" w:eastAsia="仿宋" w:cs="仿宋"/>
              </w:rPr>
              <w:t>本年财政拨款基本支出</w:t>
            </w:r>
          </w:p>
        </w:tc>
      </w:tr>
      <w:tr>
        <w:tblPrEx>
          <w:tblCellMar>
            <w:top w:w="55" w:type="dxa"/>
            <w:left w:w="55" w:type="dxa"/>
            <w:bottom w:w="55" w:type="dxa"/>
            <w:right w:w="55" w:type="dxa"/>
          </w:tblCellMar>
        </w:tblPrEx>
        <w:trPr>
          <w:trHeight w:val="267" w:hRule="atLeast"/>
        </w:trPr>
        <w:tc>
          <w:tcPr>
            <w:tcW w:w="1131"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科目编码</w:t>
            </w:r>
          </w:p>
        </w:tc>
        <w:tc>
          <w:tcPr>
            <w:tcW w:w="3542"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2047"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合计</w:t>
            </w:r>
          </w:p>
        </w:tc>
        <w:tc>
          <w:tcPr>
            <w:tcW w:w="2040"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人员经费</w:t>
            </w:r>
          </w:p>
        </w:tc>
        <w:tc>
          <w:tcPr>
            <w:tcW w:w="2057" w:type="dxa"/>
            <w:tcBorders>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公用经费</w:t>
            </w:r>
          </w:p>
        </w:tc>
      </w:tr>
      <w:tr>
        <w:tblPrEx>
          <w:tblCellMar>
            <w:top w:w="55" w:type="dxa"/>
            <w:left w:w="55" w:type="dxa"/>
            <w:bottom w:w="55" w:type="dxa"/>
            <w:right w:w="55" w:type="dxa"/>
          </w:tblCellMar>
        </w:tblPrEx>
        <w:trPr>
          <w:trHeight w:val="350" w:hRule="exact"/>
        </w:trPr>
        <w:tc>
          <w:tcPr>
            <w:tcW w:w="4673"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
            </w:r>
            <w:r>
              <w:rPr>
                <w:rFonts w:ascii="仿宋" w:hAnsi="仿宋" w:cs="仿宋" w:eastAsia="仿宋"/>
              </w:rPr>
              <w:t>合计</w:t>
            </w:r>
          </w:p>
        </w:tc>
        <w:tc>
          <w:tcPr>
            <w:tcW w:w="2047"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661.17</w:t>
            </w:r>
          </w:p>
        </w:tc>
        <w:tc>
          <w:tcPr>
            <w:tcW w:w="204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622.55</w:t>
            </w:r>
          </w:p>
        </w:tc>
        <w:tc>
          <w:tcPr>
            <w:tcW w:w="2057"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38.62</w:t>
            </w:r>
          </w:p>
        </w:tc>
      </w:tr>
      <w:tr>
        <w:tblPrEx>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工资福利支出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622.30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622.30</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基本工资</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63.34</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63.34</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津贴补贴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104.62</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104.62</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奖金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56.89</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56.89</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绩效工资</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161.31</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161.31</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机关事业单位基本养老保险缴费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40.04</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40.04</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职业年金缴费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20.02</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20.02</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职工基本医疗保险缴费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18.13</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18.13</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其他社会保障缴费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5.95</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5.95</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住房公积金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44.09</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44.09</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其他工资福利支出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107.91</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107.91</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商品和服务支出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38.62</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38.62</w:t>
            </w:r>
          </w:p>
        </w:tc>
      </w:tr>
      <w:tr>
        <w:tblPrEx>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办公费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22.40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22.40</w:t>
            </w:r>
          </w:p>
        </w:tc>
      </w:tr>
      <w:tr>
        <w:tblPrEx>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公务接待费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0.50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0.50</w:t>
            </w:r>
          </w:p>
        </w:tc>
      </w:tr>
      <w:tr>
        <w:tblPrEx>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工会经费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5.71</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5.71</w:t>
            </w:r>
          </w:p>
        </w:tc>
      </w:tr>
      <w:tr>
        <w:tblPrEx>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福利费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1.43</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1.43</w:t>
            </w:r>
          </w:p>
        </w:tc>
      </w:tr>
      <w:tr>
        <w:tblPrEx>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30239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其他交通费用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7.74</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7.74</w:t>
            </w:r>
          </w:p>
        </w:tc>
      </w:tr>
      <w:tr>
        <w:tblPrEx>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其他商品和服务支出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0.84</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0.84</w:t>
            </w:r>
          </w:p>
        </w:tc>
      </w:tr>
      <w:tr>
        <w:tblPrEx>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对个人和家庭的补助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0.25</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0.25</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奖励金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0.05</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0.05</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其他对个人和家庭的补助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0.20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0.20</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bl>
    <w:p>
      <w:pPr>
        <w:widowControl w:val="0"/>
        <w:numPr>
          <w:ilvl w:val="0"/>
          <w:numId w:val="0"/>
        </w:numPr>
        <w:suppressAutoHyphens/>
        <w:bidi w:val="0"/>
        <w:spacing w:before="0" w:after="0" w:line="255" w:lineRule="exact"/>
        <w:jc w:val="left"/>
        <w:rPr>
          <w:rFonts w:hint="eastAsia" w:ascii="仿宋" w:hAnsi="仿宋" w:eastAsia="仿宋" w:cs="仿宋"/>
          <w:b/>
          <w:bCs/>
          <w:sz w:val="22"/>
          <w:szCs w:val="22"/>
        </w:rPr>
        <w:sectPr>
          <w:footerReference r:id="rId13" w:type="default"/>
          <w:pgSz w:w="11906" w:h="16838"/>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5216" w:type="dxa"/>
        <w:tblInd w:w="175" w:type="dxa"/>
        <w:tblLayout w:type="fixed"/>
        <w:tblCellMar>
          <w:top w:w="55" w:type="dxa"/>
          <w:left w:w="55" w:type="dxa"/>
          <w:bottom w:w="55" w:type="dxa"/>
          <w:right w:w="55" w:type="dxa"/>
        </w:tblCellMar>
      </w:tblPr>
      <w:tblGrid>
        <w:gridCol w:w="1792"/>
        <w:gridCol w:w="4307"/>
        <w:gridCol w:w="1960"/>
        <w:gridCol w:w="1693"/>
        <w:gridCol w:w="1987"/>
        <w:gridCol w:w="1827"/>
        <w:gridCol w:w="1650"/>
      </w:tblGrid>
      <w:tr>
        <w:tblPrEx>
          <w:tblCellMar>
            <w:top w:w="55" w:type="dxa"/>
            <w:left w:w="55" w:type="dxa"/>
            <w:bottom w:w="55" w:type="dxa"/>
            <w:right w:w="55" w:type="dxa"/>
          </w:tblCellMar>
        </w:tblPrEx>
        <w:trPr>
          <w:trHeight w:val="321" w:hRule="atLeast"/>
        </w:trPr>
        <w:tc>
          <w:tcPr>
            <w:tcW w:w="15216" w:type="dxa"/>
            <w:gridSpan w:val="7"/>
            <w:vAlign w:val="center"/>
          </w:tcPr>
          <w:p>
            <w:pPr>
              <w:pStyle w:val="22"/>
              <w:widowControl w:val="0"/>
              <w:jc w:val="left"/>
              <w:rPr>
                <w:rFonts w:hint="eastAsia" w:ascii="仿宋" w:hAnsi="仿宋" w:eastAsia="仿宋" w:cs="仿宋"/>
                <w:b/>
                <w:bCs/>
                <w:sz w:val="44"/>
                <w:szCs w:val="44"/>
              </w:rPr>
            </w:pPr>
            <w:r>
              <w:rPr>
                <w:rFonts w:hint="eastAsia" w:ascii="仿宋" w:hAnsi="仿宋" w:eastAsia="仿宋" w:cs="仿宋"/>
              </w:rPr>
              <w:t>公开0</w:t>
            </w:r>
            <w:r>
              <w:rPr>
                <w:rFonts w:hint="eastAsia" w:ascii="仿宋" w:hAnsi="仿宋" w:eastAsia="仿宋" w:cs="仿宋"/>
                <w:lang w:val="en-US" w:eastAsia="zh-CN"/>
              </w:rPr>
              <w:t>7</w:t>
            </w:r>
            <w:r>
              <w:rPr>
                <w:rFonts w:hint="eastAsia" w:ascii="仿宋" w:hAnsi="仿宋" w:eastAsia="仿宋" w:cs="仿宋"/>
              </w:rPr>
              <w:t>表</w:t>
            </w:r>
          </w:p>
        </w:tc>
      </w:tr>
      <w:tr>
        <w:tblPrEx>
          <w:tblCellMar>
            <w:top w:w="55" w:type="dxa"/>
            <w:left w:w="55" w:type="dxa"/>
            <w:bottom w:w="55" w:type="dxa"/>
            <w:right w:w="55" w:type="dxa"/>
          </w:tblCellMar>
        </w:tblPrEx>
        <w:trPr>
          <w:trHeight w:val="321" w:hRule="atLeast"/>
        </w:trPr>
        <w:tc>
          <w:tcPr>
            <w:tcW w:w="15216" w:type="dxa"/>
            <w:gridSpan w:val="7"/>
          </w:tcPr>
          <w:p>
            <w:pPr>
              <w:pStyle w:val="22"/>
              <w:widowControl w:val="0"/>
              <w:jc w:val="center"/>
              <w:rPr>
                <w:rFonts w:hint="eastAsia" w:ascii="仿宋" w:hAnsi="仿宋" w:eastAsia="仿宋" w:cs="仿宋"/>
                <w:sz w:val="27"/>
              </w:rPr>
            </w:pPr>
            <w:r>
              <w:rPr>
                <w:rFonts w:hint="eastAsia" w:ascii="仿宋" w:hAnsi="仿宋" w:eastAsia="仿宋" w:cs="仿宋"/>
                <w:b/>
                <w:bCs/>
                <w:sz w:val="44"/>
                <w:szCs w:val="44"/>
              </w:rPr>
              <w:t>一般公共预算支出表</w:t>
            </w:r>
          </w:p>
        </w:tc>
      </w:tr>
      <w:tr>
        <w:tblPrEx>
          <w:tblCellMar>
            <w:top w:w="55" w:type="dxa"/>
            <w:left w:w="55" w:type="dxa"/>
            <w:bottom w:w="55" w:type="dxa"/>
            <w:right w:w="55" w:type="dxa"/>
          </w:tblCellMar>
        </w:tblPrEx>
        <w:trPr>
          <w:trHeight w:val="288" w:hRule="atLeast"/>
        </w:trPr>
        <w:tc>
          <w:tcPr>
            <w:tcW w:w="13566" w:type="dxa"/>
            <w:gridSpan w:val="6"/>
          </w:tcPr>
          <w:p>
            <w:pPr>
              <w:pStyle w:val="22"/>
              <w:widowControl w:val="0"/>
              <w:jc w:val="left"/>
              <w:rPr>
                <w:rFonts w:hint="eastAsia" w:ascii="仿宋" w:hAnsi="仿宋" w:eastAsia="仿宋" w:cs="仿宋"/>
                <w:sz w:val="27"/>
              </w:rPr>
            </w:pPr>
            <w:r>
              <w:rPr>
                <w:rFonts w:hint="eastAsia" w:ascii="仿宋" w:hAnsi="仿宋" w:eastAsia="仿宋" w:cs="仿宋"/>
                <w:color w:val="000000"/>
                <w:sz w:val="22"/>
                <w:szCs w:val="22"/>
                <w:lang w:eastAsia="zh-CN"/>
              </w:rPr>
              <w:t>部门</w:t>
            </w:r>
            <w:r>
              <w:rPr>
                <w:rFonts w:ascii="仿宋" w:hAnsi="仿宋" w:cs="仿宋" w:eastAsia="仿宋"/>
                <w:color w:val="000000"/>
                <w:sz w:val="22"/>
              </w:rPr>
              <w:t>：</w:t>
            </w:r>
            <w:r>
              <w:rPr>
                <w:rFonts w:hint="eastAsia" w:ascii="仿宋" w:hAnsi="仿宋" w:eastAsia="仿宋" w:cs="仿宋"/>
              </w:rPr>
              <w:t>无锡市滨湖区公共资源交易中心</w:t>
            </w:r>
          </w:p>
        </w:tc>
        <w:tc>
          <w:tcPr>
            <w:tcW w:w="1650" w:type="dxa"/>
            <w:vAlign w:val="center"/>
          </w:tcPr>
          <w:p>
            <w:pPr>
              <w:pStyle w:val="22"/>
              <w:widowControl w:val="0"/>
              <w:jc w:val="right"/>
              <w:rPr>
                <w:rFonts w:hint="eastAsia" w:ascii="仿宋" w:hAnsi="仿宋" w:eastAsia="仿宋" w:cs="仿宋"/>
                <w:sz w:val="27"/>
              </w:rPr>
            </w:pPr>
            <w:r>
              <w:rPr>
                <w:rFonts w:hint="eastAsia" w:ascii="仿宋" w:hAnsi="仿宋" w:eastAsia="仿宋" w:cs="仿宋"/>
                <w:lang w:eastAsia="zh-CN"/>
              </w:rPr>
              <w:t>单位</w:t>
            </w:r>
            <w:r>
              <w:rPr>
                <w:rFonts w:hint="eastAsia" w:ascii="仿宋" w:hAnsi="仿宋" w:eastAsia="仿宋" w:cs="仿宋"/>
              </w:rPr>
              <w:t>：万元</w:t>
            </w:r>
          </w:p>
        </w:tc>
      </w:tr>
      <w:tr>
        <w:tblPrEx>
          <w:tblCellMar>
            <w:top w:w="55" w:type="dxa"/>
            <w:left w:w="55" w:type="dxa"/>
            <w:bottom w:w="55" w:type="dxa"/>
            <w:right w:w="55" w:type="dxa"/>
          </w:tblCellMar>
        </w:tblPrEx>
        <w:trPr>
          <w:trHeight w:val="319" w:hRule="atLeast"/>
        </w:trPr>
        <w:tc>
          <w:tcPr>
            <w:tcW w:w="1792" w:type="dxa"/>
            <w:vMerge w:val="restart"/>
            <w:tcBorders>
              <w:top w:val="single" w:color="000000" w:sz="6" w:space="0"/>
              <w:left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科目编码</w:t>
            </w:r>
          </w:p>
        </w:tc>
        <w:tc>
          <w:tcPr>
            <w:tcW w:w="4307" w:type="dxa"/>
            <w:vMerge w:val="restart"/>
            <w:tcBorders>
              <w:top w:val="single" w:color="000000" w:sz="6" w:space="0"/>
              <w:left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科目名称</w:t>
            </w:r>
          </w:p>
        </w:tc>
        <w:tc>
          <w:tcPr>
            <w:tcW w:w="1960" w:type="dxa"/>
            <w:vMerge w:val="restart"/>
            <w:tcBorders>
              <w:top w:val="single" w:color="000000" w:sz="6" w:space="0"/>
              <w:left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合计</w:t>
            </w:r>
          </w:p>
        </w:tc>
        <w:tc>
          <w:tcPr>
            <w:tcW w:w="5507" w:type="dxa"/>
            <w:gridSpan w:val="3"/>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基本支出</w:t>
            </w:r>
          </w:p>
        </w:tc>
        <w:tc>
          <w:tcPr>
            <w:tcW w:w="1650" w:type="dxa"/>
            <w:vMerge w:val="restart"/>
            <w:tcBorders>
              <w:top w:val="single" w:color="000000" w:sz="6" w:space="0"/>
              <w:left w:val="single" w:color="000000" w:sz="6" w:space="0"/>
              <w:right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项目支出</w:t>
            </w:r>
          </w:p>
        </w:tc>
      </w:tr>
      <w:tr>
        <w:tblPrEx>
          <w:tblCellMar>
            <w:top w:w="55" w:type="dxa"/>
            <w:left w:w="55" w:type="dxa"/>
            <w:bottom w:w="55" w:type="dxa"/>
            <w:right w:w="55" w:type="dxa"/>
          </w:tblCellMar>
        </w:tblPrEx>
        <w:trPr>
          <w:trHeight w:val="341" w:hRule="atLeast"/>
        </w:trPr>
        <w:tc>
          <w:tcPr>
            <w:tcW w:w="1792" w:type="dxa"/>
            <w:vMerge w:val="continue"/>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p>
        </w:tc>
        <w:tc>
          <w:tcPr>
            <w:tcW w:w="4307" w:type="dxa"/>
            <w:vMerge w:val="continue"/>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p>
        </w:tc>
        <w:tc>
          <w:tcPr>
            <w:tcW w:w="1960" w:type="dxa"/>
            <w:vMerge w:val="continue"/>
            <w:tcBorders>
              <w:left w:val="single" w:color="000000" w:sz="6" w:space="0"/>
              <w:bottom w:val="single" w:color="000000" w:sz="6" w:space="0"/>
            </w:tcBorders>
          </w:tcPr>
          <w:p>
            <w:pPr>
              <w:widowControl w:val="0"/>
              <w:jc w:val="left"/>
              <w:rPr>
                <w:rFonts w:hint="eastAsia" w:ascii="仿宋" w:hAnsi="仿宋" w:eastAsia="仿宋" w:cs="仿宋"/>
                <w:sz w:val="22"/>
                <w:szCs w:val="22"/>
              </w:rPr>
            </w:pPr>
          </w:p>
        </w:tc>
        <w:tc>
          <w:tcPr>
            <w:tcW w:w="1693" w:type="dxa"/>
            <w:tcBorders>
              <w:left w:val="single" w:color="000000" w:sz="6" w:space="0"/>
              <w:bottom w:val="single" w:color="000000" w:sz="6" w:space="0"/>
            </w:tcBorders>
            <w:vAlign w:val="center"/>
          </w:tcPr>
          <w:p>
            <w:pPr>
              <w:keepNext w:val="0"/>
              <w:keepLines w:val="0"/>
              <w:widowControl/>
              <w:suppressLineNumbers w:val="0"/>
              <w:spacing w:before="0" w:beforeAutospacing="0" w:after="0" w:afterAutospacing="0"/>
              <w:ind w:left="0" w:leftChars="0" w:right="0" w:rightChars="0"/>
              <w:jc w:val="center"/>
              <w:rPr>
                <w:rFonts w:hint="default"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小计</w:t>
            </w:r>
          </w:p>
        </w:tc>
        <w:tc>
          <w:tcPr>
            <w:tcW w:w="1987" w:type="dxa"/>
            <w:tcBorders>
              <w:left w:val="single" w:color="000000" w:sz="6" w:space="0"/>
              <w:bottom w:val="single" w:color="000000" w:sz="6" w:space="0"/>
            </w:tcBorders>
            <w:vAlign w:val="center"/>
          </w:tcPr>
          <w:p>
            <w:pPr>
              <w:keepNext w:val="0"/>
              <w:keepLines w:val="0"/>
              <w:widowControl/>
              <w:suppressLineNumbers w:val="0"/>
              <w:spacing w:before="0" w:beforeAutospacing="0" w:after="0" w:afterAutospacing="0"/>
              <w:ind w:left="0" w:leftChars="0" w:right="0" w:rightChars="0"/>
              <w:jc w:val="center"/>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en-US" w:eastAsia="zh-CN" w:bidi="zh-CN"/>
              </w:rPr>
              <w:t>人员经费</w:t>
            </w:r>
          </w:p>
        </w:tc>
        <w:tc>
          <w:tcPr>
            <w:tcW w:w="1827" w:type="dxa"/>
            <w:tcBorders>
              <w:left w:val="single" w:color="000000" w:sz="6" w:space="0"/>
              <w:bottom w:val="single" w:color="000000" w:sz="6" w:space="0"/>
            </w:tcBorders>
            <w:vAlign w:val="center"/>
          </w:tcPr>
          <w:p>
            <w:pPr>
              <w:keepNext w:val="0"/>
              <w:keepLines w:val="0"/>
              <w:widowControl/>
              <w:suppressLineNumbers w:val="0"/>
              <w:spacing w:before="0" w:beforeAutospacing="0" w:after="0" w:afterAutospacing="0"/>
              <w:ind w:left="0" w:leftChars="0" w:right="0" w:rightChars="0"/>
              <w:jc w:val="center"/>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en-US" w:eastAsia="zh-CN" w:bidi="zh-CN"/>
              </w:rPr>
              <w:t>公用经费</w:t>
            </w:r>
          </w:p>
        </w:tc>
        <w:tc>
          <w:tcPr>
            <w:tcW w:w="1650" w:type="dxa"/>
            <w:vMerge w:val="continue"/>
            <w:tcBorders>
              <w:left w:val="single" w:color="000000" w:sz="6" w:space="0"/>
              <w:bottom w:val="single" w:color="000000" w:sz="6" w:space="0"/>
              <w:right w:val="single" w:color="000000" w:sz="6" w:space="0"/>
            </w:tcBorders>
          </w:tcPr>
          <w:p>
            <w:pPr>
              <w:widowControl w:val="0"/>
              <w:jc w:val="left"/>
              <w:rPr>
                <w:rFonts w:hint="eastAsia" w:ascii="仿宋" w:hAnsi="仿宋" w:eastAsia="仿宋" w:cs="仿宋"/>
                <w:sz w:val="22"/>
                <w:szCs w:val="22"/>
              </w:rPr>
            </w:pPr>
          </w:p>
        </w:tc>
      </w:tr>
      <w:tr>
        <w:tblPrEx>
          <w:tblCellMar>
            <w:top w:w="55" w:type="dxa"/>
            <w:left w:w="55" w:type="dxa"/>
            <w:bottom w:w="55" w:type="dxa"/>
            <w:right w:w="55" w:type="dxa"/>
          </w:tblCellMar>
        </w:tblPrEx>
        <w:trPr>
          <w:trHeight w:val="378" w:hRule="exact"/>
        </w:trPr>
        <w:tc>
          <w:tcPr>
            <w:tcW w:w="6099" w:type="dxa"/>
            <w:gridSpan w:val="2"/>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
            </w:r>
            <w:r>
              <w:rPr>
                <w:rFonts w:hint="eastAsia" w:ascii="仿宋" w:hAnsi="仿宋" w:eastAsia="仿宋" w:cs="仿宋"/>
                <w:sz w:val="22"/>
                <w:szCs w:val="22"/>
              </w:rPr>
              <w:t>合计</w:t>
            </w:r>
          </w:p>
        </w:tc>
        <w:tc>
          <w:tcPr>
            <w:tcW w:w="1960" w:type="dxa"/>
            <w:tcBorders>
              <w:left w:val="single" w:color="000000" w:sz="6" w:space="0"/>
              <w:bottom w:val="single" w:color="000000" w:sz="6"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886.17</w:t>
            </w:r>
          </w:p>
        </w:tc>
        <w:tc>
          <w:tcPr>
            <w:tcW w:w="1693" w:type="dxa"/>
            <w:tcBorders>
              <w:left w:val="single" w:color="000000" w:sz="6" w:space="0"/>
              <w:bottom w:val="single" w:color="000000" w:sz="6"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661.17</w:t>
            </w:r>
          </w:p>
        </w:tc>
        <w:tc>
          <w:tcPr>
            <w:tcW w:w="1987" w:type="dxa"/>
            <w:tcBorders>
              <w:left w:val="single" w:color="000000" w:sz="6" w:space="0"/>
              <w:bottom w:val="single" w:color="000000" w:sz="6"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622.55</w:t>
            </w:r>
          </w:p>
        </w:tc>
        <w:tc>
          <w:tcPr>
            <w:tcW w:w="1827" w:type="dxa"/>
            <w:tcBorders>
              <w:left w:val="single" w:color="000000" w:sz="6" w:space="0"/>
              <w:bottom w:val="single" w:color="000000" w:sz="6"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38.62</w:t>
            </w:r>
          </w:p>
        </w:tc>
        <w:tc>
          <w:tcPr>
            <w:tcW w:w="1650" w:type="dxa"/>
            <w:tcBorders>
              <w:left w:val="single" w:color="000000" w:sz="6" w:space="0"/>
              <w:bottom w:val="single" w:color="000000" w:sz="6" w:space="0"/>
              <w:right w:val="single" w:color="000000" w:sz="6"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225.00</w:t>
            </w:r>
          </w:p>
        </w:tc>
      </w:tr>
      <w:tr>
        <w:tblPrEx>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201</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一般公共服务支出</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441.83</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441.83</w:t>
            </w: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403.21</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38.62</w:t>
            </w: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20103</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政府办公厅（室）及相关机构事务</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441.83</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441.83</w:t>
            </w: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403.21</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38.62</w:t>
            </w: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2010350</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事业运行</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397.83</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397.83</w:t>
            </w: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359.21</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38.62</w:t>
            </w: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2010399</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其他政府办公厅（室）及相关机构事务支出</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44.00</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44.00</w:t>
            </w: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44.00</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208</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社会保障和就业支出</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60.06</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60.06</w:t>
            </w: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60.06</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20805</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行政事业单位养老支出</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60.06</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60.06</w:t>
            </w: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60.06</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2080505</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机关事业单位基本养老保险缴费支出</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40.04</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40.04</w:t>
            </w: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40.04</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2080506</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机关事业单位职业年金缴费支出</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20.02</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20.02</w:t>
            </w: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20.02</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210</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卫生健康支出</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19.68</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19.68</w:t>
            </w: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19.68</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21011</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行政事业单位医疗</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19.68</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19.68</w:t>
            </w: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19.68</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2101102</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事业单位医疗</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19.68</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19.68</w:t>
            </w: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19.68</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215</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资源勘探工业信息等支出</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225.00</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225.00</w:t>
            </w:r>
          </w:p>
        </w:tc>
      </w:tr>
      <w:tr>
        <w:tblPrEx>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21507</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国有资产监管</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225.00</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225.00</w:t>
            </w:r>
          </w:p>
        </w:tc>
      </w:tr>
      <w:tr>
        <w:tblPrEx>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2150799</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其他国有资产监管支出</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225.00</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225.00</w:t>
            </w:r>
          </w:p>
        </w:tc>
      </w:tr>
      <w:tr>
        <w:tblPrEx>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221</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住房保障支出</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139.60</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139.60</w:t>
            </w: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139.60</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22102</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住房改革支出</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139.60</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139.60</w:t>
            </w: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139.60</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2210201</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住房公积金</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44.09</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44.09</w:t>
            </w: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44.09</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2210202</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提租补贴</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27.95</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27.95</w:t>
            </w: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27.95</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2210203</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购房补贴</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67.56</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67.56</w:t>
            </w: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67.56</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bl>
    <w:p>
      <w:pPr>
        <w:widowControl w:val="0"/>
        <w:numPr>
          <w:ilvl w:val="0"/>
          <w:numId w:val="0"/>
        </w:numPr>
        <w:suppressAutoHyphens/>
        <w:bidi w:val="0"/>
        <w:spacing w:before="25" w:after="0"/>
        <w:jc w:val="left"/>
        <w:rPr>
          <w:rFonts w:hint="eastAsia" w:ascii="仿宋" w:hAnsi="仿宋" w:eastAsia="仿宋" w:cs="仿宋"/>
          <w:b/>
          <w:bCs/>
          <w:sz w:val="22"/>
          <w:szCs w:val="22"/>
        </w:rPr>
        <w:sectPr>
          <w:footerReference r:id="rId14" w:type="default"/>
          <w:pgSz w:w="16838" w:h="11906" w:orient="landscape"/>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0954" w:type="dxa"/>
        <w:tblInd w:w="-206" w:type="dxa"/>
        <w:tblLayout w:type="fixed"/>
        <w:tblCellMar>
          <w:top w:w="55" w:type="dxa"/>
          <w:left w:w="55" w:type="dxa"/>
          <w:bottom w:w="55" w:type="dxa"/>
          <w:right w:w="55" w:type="dxa"/>
        </w:tblCellMar>
      </w:tblPr>
      <w:tblGrid>
        <w:gridCol w:w="1227"/>
        <w:gridCol w:w="3667"/>
        <w:gridCol w:w="2413"/>
        <w:gridCol w:w="1974"/>
        <w:gridCol w:w="1673"/>
      </w:tblGrid>
      <w:tr>
        <w:tblPrEx>
          <w:tblCellMar>
            <w:top w:w="55" w:type="dxa"/>
            <w:left w:w="55" w:type="dxa"/>
            <w:bottom w:w="55" w:type="dxa"/>
            <w:right w:w="55" w:type="dxa"/>
          </w:tblCellMar>
        </w:tblPrEx>
        <w:trPr>
          <w:trHeight w:val="319" w:hRule="atLeast"/>
        </w:trPr>
        <w:tc>
          <w:tcPr>
            <w:tcW w:w="10954" w:type="dxa"/>
            <w:gridSpan w:val="5"/>
          </w:tcPr>
          <w:p>
            <w:pPr>
              <w:pStyle w:val="22"/>
              <w:widowControl w:val="0"/>
              <w:jc w:val="left"/>
              <w:rPr>
                <w:rFonts w:hint="eastAsia" w:ascii="仿宋" w:hAnsi="仿宋" w:eastAsia="仿宋" w:cs="仿宋"/>
                <w:b/>
                <w:bCs/>
                <w:sz w:val="44"/>
                <w:szCs w:val="44"/>
              </w:rPr>
            </w:pPr>
            <w:r>
              <w:rPr>
                <w:rFonts w:hint="eastAsia" w:ascii="仿宋" w:hAnsi="仿宋" w:eastAsia="仿宋" w:cs="仿宋"/>
              </w:rPr>
              <w:t>公开08表</w:t>
            </w:r>
          </w:p>
        </w:tc>
      </w:tr>
      <w:tr>
        <w:tblPrEx>
          <w:tblCellMar>
            <w:top w:w="55" w:type="dxa"/>
            <w:left w:w="55" w:type="dxa"/>
            <w:bottom w:w="55" w:type="dxa"/>
            <w:right w:w="55" w:type="dxa"/>
          </w:tblCellMar>
        </w:tblPrEx>
        <w:trPr>
          <w:trHeight w:val="189" w:hRule="atLeast"/>
        </w:trPr>
        <w:tc>
          <w:tcPr>
            <w:tcW w:w="10954" w:type="dxa"/>
            <w:gridSpan w:val="5"/>
          </w:tcPr>
          <w:p>
            <w:pPr>
              <w:pStyle w:val="22"/>
              <w:widowControl w:val="0"/>
              <w:jc w:val="center"/>
              <w:rPr>
                <w:rFonts w:hint="eastAsia" w:ascii="仿宋" w:hAnsi="仿宋" w:eastAsia="仿宋" w:cs="仿宋"/>
                <w:sz w:val="20"/>
              </w:rPr>
            </w:pPr>
            <w:r>
              <w:rPr>
                <w:rFonts w:hint="eastAsia" w:ascii="仿宋" w:hAnsi="仿宋" w:eastAsia="仿宋" w:cs="仿宋"/>
                <w:b/>
                <w:bCs/>
                <w:sz w:val="44"/>
                <w:szCs w:val="44"/>
              </w:rPr>
              <w:t>一般公共预算基本支出表</w:t>
            </w:r>
          </w:p>
        </w:tc>
      </w:tr>
      <w:tr>
        <w:tblPrEx>
          <w:tblCellMar>
            <w:top w:w="55" w:type="dxa"/>
            <w:left w:w="55" w:type="dxa"/>
            <w:bottom w:w="55" w:type="dxa"/>
            <w:right w:w="55" w:type="dxa"/>
          </w:tblCellMar>
        </w:tblPrEx>
        <w:trPr>
          <w:trHeight w:val="138" w:hRule="atLeast"/>
        </w:trPr>
        <w:tc>
          <w:tcPr>
            <w:tcW w:w="9281" w:type="dxa"/>
            <w:gridSpan w:val="4"/>
            <w:vAlign w:val="center"/>
          </w:tcPr>
          <w:p>
            <w:pPr>
              <w:pStyle w:val="22"/>
              <w:widowControl w:val="0"/>
              <w:jc w:val="left"/>
              <w:rPr>
                <w:rFonts w:hint="eastAsia" w:ascii="仿宋" w:hAnsi="仿宋" w:eastAsia="仿宋" w:cs="仿宋"/>
                <w:sz w:val="20"/>
              </w:rPr>
            </w:pPr>
            <w:r>
              <w:rPr>
                <w:rFonts w:hint="eastAsia" w:ascii="仿宋" w:hAnsi="仿宋" w:eastAsia="仿宋" w:cs="仿宋"/>
                <w:color w:val="000000"/>
                <w:sz w:val="22"/>
                <w:szCs w:val="22"/>
                <w:lang w:eastAsia="zh-CN"/>
              </w:rPr>
              <w:t>部门</w:t>
            </w:r>
            <w:r>
              <w:rPr>
                <w:rFonts w:ascii="仿宋" w:hAnsi="仿宋" w:cs="仿宋" w:eastAsia="仿宋"/>
                <w:color w:val="000000"/>
                <w:sz w:val="22"/>
              </w:rPr>
              <w:t>：</w:t>
            </w:r>
            <w:r>
              <w:rPr>
                <w:rFonts w:hint="eastAsia" w:ascii="仿宋" w:hAnsi="仿宋" w:eastAsia="仿宋" w:cs="仿宋"/>
              </w:rPr>
              <w:t>无锡市滨湖区公共资源交易中心</w:t>
            </w:r>
          </w:p>
        </w:tc>
        <w:tc>
          <w:tcPr>
            <w:tcW w:w="1673" w:type="dxa"/>
            <w:vAlign w:val="center"/>
          </w:tcPr>
          <w:p>
            <w:pPr>
              <w:pStyle w:val="22"/>
              <w:widowControl w:val="0"/>
              <w:jc w:val="right"/>
              <w:rPr>
                <w:rFonts w:hint="eastAsia" w:ascii="仿宋" w:hAnsi="仿宋" w:eastAsia="仿宋" w:cs="仿宋"/>
                <w:sz w:val="20"/>
              </w:rPr>
            </w:pPr>
            <w:r>
              <w:rPr>
                <w:rFonts w:hint="eastAsia" w:ascii="仿宋" w:hAnsi="仿宋" w:eastAsia="仿宋" w:cs="仿宋"/>
                <w:lang w:eastAsia="zh-CN"/>
              </w:rPr>
              <w:t>单位</w:t>
            </w:r>
            <w:r>
              <w:rPr>
                <w:rFonts w:hint="eastAsia" w:ascii="仿宋" w:hAnsi="仿宋" w:eastAsia="仿宋" w:cs="仿宋"/>
              </w:rPr>
              <w:t>：万元</w:t>
            </w:r>
          </w:p>
        </w:tc>
      </w:tr>
      <w:tr>
        <w:tblPrEx>
          <w:tblCellMar>
            <w:top w:w="55" w:type="dxa"/>
            <w:left w:w="55" w:type="dxa"/>
            <w:bottom w:w="55" w:type="dxa"/>
            <w:right w:w="55" w:type="dxa"/>
          </w:tblCellMar>
        </w:tblPrEx>
        <w:trPr>
          <w:trHeight w:val="180" w:hRule="atLeast"/>
        </w:trPr>
        <w:tc>
          <w:tcPr>
            <w:tcW w:w="4894" w:type="dxa"/>
            <w:gridSpan w:val="2"/>
            <w:tcBorders>
              <w:top w:val="single" w:color="000000" w:sz="4" w:space="0"/>
              <w:left w:val="single" w:color="000000" w:sz="4" w:space="0"/>
              <w:bottom w:val="single" w:color="000000" w:sz="4" w:space="0"/>
            </w:tcBorders>
            <w:vAlign w:val="center"/>
          </w:tcPr>
          <w:p>
            <w:pPr>
              <w:widowControl w:val="0"/>
              <w:jc w:val="center"/>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部门预算支出经济分类科目</w:t>
            </w:r>
          </w:p>
        </w:tc>
        <w:tc>
          <w:tcPr>
            <w:tcW w:w="6060" w:type="dxa"/>
            <w:gridSpan w:val="3"/>
            <w:tcBorders>
              <w:top w:val="single" w:color="000000" w:sz="4" w:space="0"/>
              <w:left w:val="single" w:color="000000" w:sz="4" w:space="0"/>
              <w:bottom w:val="single" w:color="000000" w:sz="4" w:space="0"/>
              <w:right w:val="single" w:color="000000" w:sz="4" w:space="0"/>
            </w:tcBorders>
            <w:vAlign w:val="center"/>
          </w:tcPr>
          <w:p>
            <w:pPr>
              <w:widowControl w:val="0"/>
              <w:jc w:val="center"/>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本年一般公共预算基本支出</w:t>
            </w:r>
          </w:p>
        </w:tc>
      </w:tr>
      <w:tr>
        <w:tblPrEx>
          <w:tblCellMar>
            <w:top w:w="55" w:type="dxa"/>
            <w:left w:w="55" w:type="dxa"/>
            <w:bottom w:w="55" w:type="dxa"/>
            <w:right w:w="55" w:type="dxa"/>
          </w:tblCellMar>
        </w:tblPrEx>
        <w:trPr>
          <w:trHeight w:val="190" w:hRule="atLeast"/>
        </w:trPr>
        <w:tc>
          <w:tcPr>
            <w:tcW w:w="1227"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科目编码</w:t>
            </w:r>
          </w:p>
        </w:tc>
        <w:tc>
          <w:tcPr>
            <w:tcW w:w="3667"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2413"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合计</w:t>
            </w:r>
          </w:p>
        </w:tc>
        <w:tc>
          <w:tcPr>
            <w:tcW w:w="1974"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人员经费</w:t>
            </w:r>
          </w:p>
        </w:tc>
        <w:tc>
          <w:tcPr>
            <w:tcW w:w="1673" w:type="dxa"/>
            <w:tcBorders>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公用经费</w:t>
            </w:r>
          </w:p>
        </w:tc>
      </w:tr>
      <w:tr>
        <w:tblPrEx>
          <w:tblCellMar>
            <w:top w:w="55" w:type="dxa"/>
            <w:left w:w="55" w:type="dxa"/>
            <w:bottom w:w="55" w:type="dxa"/>
            <w:right w:w="55" w:type="dxa"/>
          </w:tblCellMar>
        </w:tblPrEx>
        <w:trPr>
          <w:trHeight w:val="382" w:hRule="exact"/>
        </w:trPr>
        <w:tc>
          <w:tcPr>
            <w:tcW w:w="4894"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
            </w:r>
            <w:r>
              <w:rPr>
                <w:rFonts w:hint="eastAsia" w:ascii="仿宋" w:hAnsi="仿宋" w:eastAsia="仿宋" w:cs="仿宋"/>
              </w:rPr>
              <w:t>合计</w:t>
            </w:r>
          </w:p>
        </w:tc>
        <w:tc>
          <w:tcPr>
            <w:tcW w:w="2413"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661.17</w:t>
            </w:r>
          </w:p>
        </w:tc>
        <w:tc>
          <w:tcPr>
            <w:tcW w:w="1974"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622.55</w:t>
            </w:r>
          </w:p>
        </w:tc>
        <w:tc>
          <w:tcPr>
            <w:tcW w:w="1673"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38.62</w:t>
            </w:r>
          </w:p>
        </w:tc>
      </w:tr>
      <w:tr>
        <w:tblPrEx>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工资福利支出</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622.30</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622.30</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30101</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基本工资</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63.34</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63.34</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30102</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津贴补贴</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104.62</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104.62</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30103</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奖金</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56.89</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56.89</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30107</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绩效工资</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161.31</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161.31</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30108</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机关事业单位基本养老保险缴费</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40.04</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40.04</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30109</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职业年金缴费</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20.02</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20.02</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30110</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职工基本医疗保险缴费</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18.13</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18.13</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30112</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其他社会保障缴费</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5.95</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5.95</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30113</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住房公积金</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44.09</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44.09</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30199</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其他工资福利支出</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107.91</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107.91</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商品和服务支出</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38.62</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38.62</w:t>
            </w:r>
          </w:p>
        </w:tc>
      </w:tr>
      <w:tr>
        <w:tblPrEx>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30201</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办公费</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22.40</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22.40</w:t>
            </w:r>
          </w:p>
        </w:tc>
      </w:tr>
      <w:tr>
        <w:tblPrEx>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30217</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公务接待费</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0.50</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0.50</w:t>
            </w:r>
          </w:p>
        </w:tc>
      </w:tr>
      <w:tr>
        <w:tblPrEx>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30228</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工会经费</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5.71</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5.71</w:t>
            </w:r>
          </w:p>
        </w:tc>
      </w:tr>
      <w:tr>
        <w:tblPrEx>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30229</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福利费</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1.43</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1.43</w:t>
            </w:r>
          </w:p>
        </w:tc>
      </w:tr>
      <w:tr>
        <w:tblPrEx>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30239</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其他交通费用</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7.74</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7.74</w:t>
            </w:r>
          </w:p>
        </w:tc>
      </w:tr>
      <w:tr>
        <w:tblPrEx>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30299</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其他商品和服务支出</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0.84</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0.84</w:t>
            </w:r>
          </w:p>
        </w:tc>
      </w:tr>
      <w:tr>
        <w:tblPrEx>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对个人和家庭的补助</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0.25</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0.25</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30309</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奖励金</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0.05</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0.05</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30399</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其他对个人和家庭的补助</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0.20</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0.20</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bl>
    <w:p>
      <w:pPr>
        <w:widowControl w:val="0"/>
        <w:numPr>
          <w:ilvl w:val="0"/>
          <w:numId w:val="0"/>
        </w:numPr>
        <w:suppressAutoHyphens/>
        <w:bidi w:val="0"/>
        <w:spacing w:before="25" w:after="0"/>
        <w:jc w:val="left"/>
        <w:rPr>
          <w:rFonts w:hint="eastAsia" w:ascii="仿宋" w:hAnsi="仿宋" w:eastAsia="仿宋" w:cs="仿宋"/>
          <w:b/>
          <w:bCs/>
          <w:sz w:val="22"/>
          <w:szCs w:val="22"/>
        </w:rPr>
        <w:sectPr>
          <w:footerReference r:id="rId15" w:type="default"/>
          <w:pgSz w:w="11906" w:h="16838"/>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5909" w:type="dxa"/>
        <w:tblInd w:w="-226" w:type="dxa"/>
        <w:tblLayout w:type="fixed"/>
        <w:tblCellMar>
          <w:top w:w="55" w:type="dxa"/>
          <w:left w:w="55" w:type="dxa"/>
          <w:bottom w:w="55" w:type="dxa"/>
          <w:right w:w="55" w:type="dxa"/>
        </w:tblCellMar>
      </w:tblPr>
      <w:tblGrid>
        <w:gridCol w:w="2471"/>
        <w:gridCol w:w="2332"/>
        <w:gridCol w:w="2037"/>
        <w:gridCol w:w="1697"/>
        <w:gridCol w:w="1680"/>
        <w:gridCol w:w="1852"/>
        <w:gridCol w:w="2057"/>
        <w:gridCol w:w="1783"/>
      </w:tblGrid>
      <w:tr>
        <w:tblPrEx>
          <w:tblCellMar>
            <w:top w:w="55" w:type="dxa"/>
            <w:left w:w="55" w:type="dxa"/>
            <w:bottom w:w="55" w:type="dxa"/>
            <w:right w:w="55" w:type="dxa"/>
          </w:tblCellMar>
        </w:tblPrEx>
        <w:trPr>
          <w:trHeight w:val="321" w:hRule="atLeast"/>
        </w:trPr>
        <w:tc>
          <w:tcPr>
            <w:tcW w:w="15909" w:type="dxa"/>
            <w:gridSpan w:val="8"/>
          </w:tcPr>
          <w:p>
            <w:pPr>
              <w:pStyle w:val="22"/>
              <w:widowControl w:val="0"/>
              <w:jc w:val="left"/>
              <w:rPr>
                <w:rFonts w:hint="eastAsia" w:ascii="仿宋" w:hAnsi="仿宋" w:eastAsia="仿宋" w:cs="仿宋"/>
                <w:b/>
                <w:bCs/>
                <w:sz w:val="44"/>
                <w:szCs w:val="44"/>
              </w:rPr>
            </w:pPr>
            <w:r>
              <w:rPr>
                <w:rFonts w:hint="eastAsia" w:ascii="仿宋" w:hAnsi="仿宋" w:eastAsia="仿宋" w:cs="仿宋"/>
              </w:rPr>
              <w:t>公开09表</w:t>
            </w:r>
          </w:p>
        </w:tc>
      </w:tr>
      <w:tr>
        <w:tblPrEx>
          <w:tblCellMar>
            <w:top w:w="55" w:type="dxa"/>
            <w:left w:w="55" w:type="dxa"/>
            <w:bottom w:w="55" w:type="dxa"/>
            <w:right w:w="55" w:type="dxa"/>
          </w:tblCellMar>
        </w:tblPrEx>
        <w:trPr>
          <w:trHeight w:val="207" w:hRule="atLeast"/>
        </w:trPr>
        <w:tc>
          <w:tcPr>
            <w:tcW w:w="15909" w:type="dxa"/>
            <w:gridSpan w:val="8"/>
          </w:tcPr>
          <w:p>
            <w:pPr>
              <w:pStyle w:val="22"/>
              <w:widowControl w:val="0"/>
              <w:jc w:val="center"/>
              <w:rPr>
                <w:rFonts w:hint="eastAsia" w:ascii="仿宋" w:hAnsi="仿宋" w:eastAsia="仿宋" w:cs="仿宋"/>
                <w:sz w:val="20"/>
              </w:rPr>
            </w:pPr>
            <w:r>
              <w:rPr>
                <w:rFonts w:hint="eastAsia" w:ascii="仿宋" w:hAnsi="仿宋" w:eastAsia="仿宋" w:cs="仿宋"/>
                <w:b/>
                <w:bCs/>
                <w:sz w:val="44"/>
                <w:szCs w:val="44"/>
              </w:rPr>
              <w:t>一般公共预算“三公”经费、会议费、培训费支出表</w:t>
            </w:r>
          </w:p>
        </w:tc>
      </w:tr>
      <w:tr>
        <w:tblPrEx>
          <w:tblCellMar>
            <w:top w:w="55" w:type="dxa"/>
            <w:left w:w="55" w:type="dxa"/>
            <w:bottom w:w="55" w:type="dxa"/>
            <w:right w:w="55" w:type="dxa"/>
          </w:tblCellMar>
        </w:tblPrEx>
        <w:trPr>
          <w:trHeight w:val="103" w:hRule="atLeast"/>
        </w:trPr>
        <w:tc>
          <w:tcPr>
            <w:tcW w:w="12069" w:type="dxa"/>
            <w:gridSpan w:val="6"/>
            <w:tcBorders>
              <w:bottom w:val="single" w:color="auto" w:sz="4" w:space="0"/>
            </w:tcBorders>
          </w:tcPr>
          <w:p>
            <w:pPr>
              <w:pStyle w:val="22"/>
              <w:widowControl w:val="0"/>
              <w:rPr>
                <w:rFonts w:hint="eastAsia" w:ascii="仿宋" w:hAnsi="仿宋" w:eastAsia="仿宋" w:cs="仿宋"/>
                <w:sz w:val="20"/>
              </w:rPr>
            </w:pPr>
            <w:r>
              <w:rPr>
                <w:rFonts w:hint="eastAsia" w:ascii="仿宋" w:hAnsi="仿宋" w:eastAsia="仿宋" w:cs="仿宋"/>
                <w:color w:val="000000"/>
                <w:sz w:val="22"/>
                <w:szCs w:val="22"/>
                <w:lang w:eastAsia="zh-CN"/>
              </w:rPr>
              <w:t>部门</w:t>
            </w:r>
            <w:r>
              <w:rPr>
                <w:rFonts w:ascii="仿宋" w:hAnsi="仿宋" w:cs="仿宋" w:eastAsia="仿宋"/>
                <w:color w:val="000000"/>
                <w:sz w:val="22"/>
              </w:rPr>
              <w:t>：</w:t>
            </w:r>
            <w:r>
              <w:rPr>
                <w:rFonts w:hint="eastAsia" w:ascii="仿宋" w:hAnsi="仿宋" w:eastAsia="仿宋" w:cs="仿宋"/>
              </w:rPr>
              <w:t>无锡市滨湖区公共资源交易中心</w:t>
            </w:r>
          </w:p>
        </w:tc>
        <w:tc>
          <w:tcPr>
            <w:tcW w:w="3840" w:type="dxa"/>
            <w:gridSpan w:val="2"/>
            <w:tcBorders>
              <w:bottom w:val="single" w:color="auto" w:sz="4" w:space="0"/>
            </w:tcBorders>
            <w:vAlign w:val="center"/>
          </w:tcPr>
          <w:p>
            <w:pPr>
              <w:pStyle w:val="22"/>
              <w:widowControl w:val="0"/>
              <w:jc w:val="right"/>
              <w:rPr>
                <w:rFonts w:hint="eastAsia" w:ascii="仿宋" w:hAnsi="仿宋" w:eastAsia="仿宋" w:cs="仿宋"/>
                <w:sz w:val="20"/>
              </w:rPr>
            </w:pPr>
            <w:r>
              <w:rPr>
                <w:rFonts w:hint="eastAsia" w:ascii="仿宋" w:hAnsi="仿宋" w:eastAsia="仿宋" w:cs="仿宋"/>
                <w:lang w:eastAsia="zh-CN"/>
              </w:rPr>
              <w:t>单位</w:t>
            </w:r>
            <w:r>
              <w:rPr>
                <w:rFonts w:hint="eastAsia" w:ascii="仿宋" w:hAnsi="仿宋" w:eastAsia="仿宋" w:cs="仿宋"/>
              </w:rPr>
              <w:t>：万元</w:t>
            </w:r>
          </w:p>
        </w:tc>
      </w:tr>
      <w:tr>
        <w:tblPrEx>
          <w:tblCellMar>
            <w:top w:w="55" w:type="dxa"/>
            <w:left w:w="55" w:type="dxa"/>
            <w:bottom w:w="55" w:type="dxa"/>
            <w:right w:w="55" w:type="dxa"/>
          </w:tblCellMar>
        </w:tblPrEx>
        <w:trPr>
          <w:trHeight w:val="297" w:hRule="atLeast"/>
        </w:trPr>
        <w:tc>
          <w:tcPr>
            <w:tcW w:w="2471" w:type="dxa"/>
            <w:vMerge w:val="restart"/>
            <w:tcBorders>
              <w:top w:val="single" w:color="auto" w:sz="4" w:space="0"/>
              <w:left w:val="single" w:color="auto"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“三公”经费合计</w:t>
            </w:r>
          </w:p>
        </w:tc>
        <w:tc>
          <w:tcPr>
            <w:tcW w:w="2332" w:type="dxa"/>
            <w:vMerge w:val="restart"/>
            <w:tcBorders>
              <w:top w:val="single" w:color="auto" w:sz="4" w:space="0"/>
              <w:left w:val="single" w:color="auto"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因公出国（境）费</w:t>
            </w:r>
          </w:p>
        </w:tc>
        <w:tc>
          <w:tcPr>
            <w:tcW w:w="5414" w:type="dxa"/>
            <w:gridSpan w:val="3"/>
            <w:tcBorders>
              <w:top w:val="single" w:color="auto" w:sz="4" w:space="0"/>
              <w:left w:val="single" w:color="auto"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公务用车购置及运行</w:t>
            </w:r>
            <w:r>
              <w:rPr>
                <w:rFonts w:hint="eastAsia" w:ascii="仿宋" w:hAnsi="仿宋" w:eastAsia="仿宋" w:cs="仿宋"/>
                <w:lang w:val="en-US" w:eastAsia="zh-CN"/>
              </w:rPr>
              <w:t>维护</w:t>
            </w:r>
            <w:r>
              <w:rPr>
                <w:rFonts w:hint="eastAsia" w:ascii="仿宋" w:hAnsi="仿宋" w:eastAsia="仿宋" w:cs="仿宋"/>
              </w:rPr>
              <w:t>费</w:t>
            </w:r>
          </w:p>
        </w:tc>
        <w:tc>
          <w:tcPr>
            <w:tcW w:w="1852" w:type="dxa"/>
            <w:vMerge w:val="restart"/>
            <w:tcBorders>
              <w:top w:val="single" w:color="auto" w:sz="4" w:space="0"/>
              <w:left w:val="single" w:color="auto"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公务接待费</w:t>
            </w:r>
          </w:p>
        </w:tc>
        <w:tc>
          <w:tcPr>
            <w:tcW w:w="2057" w:type="dxa"/>
            <w:vMerge w:val="restart"/>
            <w:tcBorders>
              <w:top w:val="single" w:color="auto" w:sz="4" w:space="0"/>
              <w:left w:val="single" w:color="auto" w:sz="4" w:space="0"/>
              <w:bottom w:val="single" w:color="auto" w:sz="4" w:space="0"/>
              <w:right w:val="single" w:color="auto" w:sz="4" w:space="0"/>
            </w:tcBorders>
            <w:vAlign w:val="center"/>
          </w:tcPr>
          <w:p>
            <w:pPr>
              <w:pStyle w:val="22"/>
              <w:widowControl w:val="0"/>
              <w:jc w:val="center"/>
              <w:rPr>
                <w:rFonts w:hint="eastAsia" w:ascii="仿宋" w:hAnsi="仿宋" w:eastAsia="仿宋" w:cs="仿宋"/>
                <w:sz w:val="20"/>
              </w:rPr>
            </w:pPr>
            <w:r>
              <w:rPr>
                <w:rFonts w:hint="eastAsia" w:ascii="仿宋" w:hAnsi="仿宋" w:eastAsia="仿宋" w:cs="仿宋"/>
              </w:rPr>
              <w:t>会议费</w:t>
            </w:r>
          </w:p>
        </w:tc>
        <w:tc>
          <w:tcPr>
            <w:tcW w:w="1783" w:type="dxa"/>
            <w:vMerge w:val="restart"/>
            <w:tcBorders>
              <w:top w:val="single" w:color="auto" w:sz="4" w:space="0"/>
              <w:left w:val="single" w:color="auto" w:sz="4" w:space="0"/>
              <w:bottom w:val="single" w:color="auto" w:sz="4" w:space="0"/>
              <w:right w:val="single" w:color="auto" w:sz="4" w:space="0"/>
            </w:tcBorders>
            <w:vAlign w:val="center"/>
          </w:tcPr>
          <w:p>
            <w:pPr>
              <w:pStyle w:val="22"/>
              <w:widowControl w:val="0"/>
              <w:jc w:val="center"/>
              <w:rPr>
                <w:rFonts w:hint="eastAsia" w:ascii="仿宋" w:hAnsi="仿宋" w:eastAsia="仿宋" w:cs="仿宋"/>
                <w:sz w:val="20"/>
              </w:rPr>
            </w:pPr>
            <w:r>
              <w:rPr>
                <w:rFonts w:hint="eastAsia" w:ascii="仿宋" w:hAnsi="仿宋" w:eastAsia="仿宋" w:cs="仿宋"/>
              </w:rPr>
              <w:t>培训费</w:t>
            </w:r>
          </w:p>
        </w:tc>
      </w:tr>
      <w:tr>
        <w:tblPrEx>
          <w:tblCellMar>
            <w:top w:w="55" w:type="dxa"/>
            <w:left w:w="55" w:type="dxa"/>
            <w:bottom w:w="55" w:type="dxa"/>
            <w:right w:w="55" w:type="dxa"/>
          </w:tblCellMar>
        </w:tblPrEx>
        <w:trPr>
          <w:trHeight w:val="728" w:hRule="exact"/>
        </w:trPr>
        <w:tc>
          <w:tcPr>
            <w:tcW w:w="2471" w:type="dxa"/>
            <w:vMerge w:val="continue"/>
            <w:tcBorders>
              <w:top w:val="single" w:color="auto" w:sz="4" w:space="0"/>
              <w:left w:val="single" w:color="auto" w:sz="4" w:space="0"/>
              <w:bottom w:val="single" w:color="auto" w:sz="4" w:space="0"/>
              <w:right w:val="single" w:color="auto" w:sz="4" w:space="0"/>
            </w:tcBorders>
          </w:tcPr>
          <w:p>
            <w:pPr>
              <w:widowControl w:val="0"/>
              <w:jc w:val="left"/>
              <w:rPr>
                <w:rFonts w:hint="eastAsia" w:ascii="仿宋" w:hAnsi="仿宋" w:eastAsia="仿宋" w:cs="仿宋"/>
                <w:sz w:val="2"/>
                <w:szCs w:val="2"/>
              </w:rPr>
            </w:pPr>
          </w:p>
        </w:tc>
        <w:tc>
          <w:tcPr>
            <w:tcW w:w="2332" w:type="dxa"/>
            <w:vMerge w:val="continue"/>
            <w:tcBorders>
              <w:top w:val="single" w:color="auto" w:sz="4" w:space="0"/>
              <w:left w:val="single" w:color="auto" w:sz="4" w:space="0"/>
              <w:bottom w:val="single" w:color="auto" w:sz="4" w:space="0"/>
              <w:right w:val="single" w:color="auto" w:sz="4" w:space="0"/>
            </w:tcBorders>
          </w:tcPr>
          <w:p>
            <w:pPr>
              <w:widowControl w:val="0"/>
              <w:jc w:val="left"/>
              <w:rPr>
                <w:rFonts w:hint="eastAsia" w:ascii="仿宋" w:hAnsi="仿宋" w:eastAsia="仿宋" w:cs="仿宋"/>
                <w:sz w:val="2"/>
                <w:szCs w:val="2"/>
              </w:rPr>
            </w:pPr>
          </w:p>
        </w:tc>
        <w:tc>
          <w:tcPr>
            <w:tcW w:w="2037" w:type="dxa"/>
            <w:tcBorders>
              <w:top w:val="single" w:color="auto" w:sz="4" w:space="0"/>
              <w:left w:val="single" w:color="auto"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
            </w:r>
            <w:r>
              <w:rPr>
                <w:rFonts w:ascii="仿宋" w:hAnsi="仿宋" w:cs="仿宋" w:eastAsia="仿宋"/>
              </w:rPr>
              <w:t>小计</w:t>
            </w:r>
          </w:p>
        </w:tc>
        <w:tc>
          <w:tcPr>
            <w:tcW w:w="1697" w:type="dxa"/>
            <w:tcBorders>
              <w:top w:val="single" w:color="auto" w:sz="4" w:space="0"/>
              <w:left w:val="single" w:color="auto"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公务用车购置费</w:t>
            </w:r>
          </w:p>
        </w:tc>
        <w:tc>
          <w:tcPr>
            <w:tcW w:w="1680" w:type="dxa"/>
            <w:tcBorders>
              <w:top w:val="single" w:color="auto" w:sz="4" w:space="0"/>
              <w:left w:val="single" w:color="auto"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公务用车运行</w:t>
            </w:r>
            <w:r>
              <w:rPr>
                <w:rFonts w:hint="eastAsia" w:ascii="仿宋" w:hAnsi="仿宋" w:eastAsia="仿宋" w:cs="仿宋"/>
                <w:lang w:val="en-US" w:eastAsia="zh-CN"/>
              </w:rPr>
              <w:t>维护</w:t>
            </w:r>
            <w:r>
              <w:rPr>
                <w:rFonts w:hint="eastAsia" w:ascii="仿宋" w:hAnsi="仿宋" w:eastAsia="仿宋" w:cs="仿宋"/>
              </w:rPr>
              <w:t>费</w:t>
            </w:r>
          </w:p>
        </w:tc>
        <w:tc>
          <w:tcPr>
            <w:tcW w:w="1852" w:type="dxa"/>
            <w:vMerge w:val="continue"/>
            <w:tcBorders>
              <w:top w:val="single" w:color="auto" w:sz="4" w:space="0"/>
              <w:left w:val="single" w:color="auto" w:sz="4" w:space="0"/>
              <w:bottom w:val="single" w:color="auto" w:sz="4" w:space="0"/>
              <w:right w:val="single" w:color="auto" w:sz="4" w:space="0"/>
            </w:tcBorders>
          </w:tcPr>
          <w:p>
            <w:pPr>
              <w:widowControl w:val="0"/>
              <w:jc w:val="left"/>
              <w:rPr>
                <w:rFonts w:hint="eastAsia" w:ascii="仿宋" w:hAnsi="仿宋" w:eastAsia="仿宋" w:cs="仿宋"/>
                <w:sz w:val="2"/>
                <w:szCs w:val="2"/>
              </w:rPr>
            </w:pPr>
          </w:p>
        </w:tc>
        <w:tc>
          <w:tcPr>
            <w:tcW w:w="2057" w:type="dxa"/>
            <w:vMerge w:val="continue"/>
            <w:tcBorders>
              <w:top w:val="single" w:color="auto" w:sz="4" w:space="0"/>
              <w:left w:val="single" w:color="auto" w:sz="4" w:space="0"/>
              <w:bottom w:val="single" w:color="auto" w:sz="4" w:space="0"/>
              <w:right w:val="single" w:color="auto" w:sz="4" w:space="0"/>
            </w:tcBorders>
          </w:tcPr>
          <w:p>
            <w:pPr>
              <w:widowControl w:val="0"/>
              <w:jc w:val="left"/>
              <w:rPr>
                <w:rFonts w:hint="eastAsia" w:ascii="仿宋" w:hAnsi="仿宋" w:eastAsia="仿宋" w:cs="仿宋"/>
                <w:sz w:val="2"/>
                <w:szCs w:val="2"/>
              </w:rPr>
            </w:pPr>
          </w:p>
        </w:tc>
        <w:tc>
          <w:tcPr>
            <w:tcW w:w="1783" w:type="dxa"/>
            <w:vMerge w:val="continue"/>
            <w:tcBorders>
              <w:top w:val="single" w:color="auto" w:sz="4" w:space="0"/>
              <w:left w:val="single" w:color="auto" w:sz="4" w:space="0"/>
              <w:bottom w:val="single" w:color="auto" w:sz="4" w:space="0"/>
              <w:right w:val="single" w:color="auto" w:sz="4" w:space="0"/>
            </w:tcBorders>
          </w:tcPr>
          <w:p>
            <w:pPr>
              <w:widowControl w:val="0"/>
              <w:jc w:val="left"/>
              <w:rPr>
                <w:rFonts w:hint="eastAsia" w:ascii="仿宋" w:hAnsi="仿宋" w:eastAsia="仿宋" w:cs="仿宋"/>
                <w:sz w:val="2"/>
                <w:szCs w:val="2"/>
              </w:rPr>
            </w:pPr>
          </w:p>
        </w:tc>
      </w:tr>
      <w:tr>
        <w:tblPrEx>
          <w:tblCellMar>
            <w:top w:w="55" w:type="dxa"/>
            <w:left w:w="55" w:type="dxa"/>
            <w:bottom w:w="55" w:type="dxa"/>
            <w:right w:w="55" w:type="dxa"/>
          </w:tblCellMar>
        </w:tblPrEx>
        <w:trPr>
          <w:cantSplit/>
          <w:trHeight w:val="165" w:hRule="atLeast"/>
        </w:trPr>
        <w:tc>
          <w:tcPr>
            <w:tcW w:w="2471" w:type="dxa"/>
            <w:tcBorders>
              <w:top w:val="single" w:color="auto" w:sz="4" w:space="0"/>
              <w:left w:val="single" w:color="auto"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0.50</w:t>
            </w:r>
          </w:p>
        </w:tc>
        <w:tc>
          <w:tcPr>
            <w:tcW w:w="2332" w:type="dxa"/>
            <w:tcBorders>
              <w:top w:val="single" w:color="auto" w:sz="4" w:space="0"/>
              <w:left w:val="single" w:color="auto"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0.00</w:t>
            </w:r>
          </w:p>
        </w:tc>
        <w:tc>
          <w:tcPr>
            <w:tcW w:w="2037" w:type="dxa"/>
            <w:tcBorders>
              <w:top w:val="single" w:color="auto" w:sz="4" w:space="0"/>
              <w:left w:val="single" w:color="auto"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0.00</w:t>
            </w:r>
          </w:p>
        </w:tc>
        <w:tc>
          <w:tcPr>
            <w:tcW w:w="1697" w:type="dxa"/>
            <w:tcBorders>
              <w:top w:val="single" w:color="auto" w:sz="4" w:space="0"/>
              <w:left w:val="single" w:color="auto"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0.00</w:t>
            </w:r>
          </w:p>
        </w:tc>
        <w:tc>
          <w:tcPr>
            <w:tcW w:w="1680" w:type="dxa"/>
            <w:tcBorders>
              <w:top w:val="single" w:color="auto" w:sz="4" w:space="0"/>
              <w:left w:val="single" w:color="auto"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0.00</w:t>
            </w:r>
          </w:p>
        </w:tc>
        <w:tc>
          <w:tcPr>
            <w:tcW w:w="1852" w:type="dxa"/>
            <w:tcBorders>
              <w:top w:val="single" w:color="auto" w:sz="4" w:space="0"/>
              <w:left w:val="single" w:color="auto"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0.50</w:t>
            </w:r>
          </w:p>
        </w:tc>
        <w:tc>
          <w:tcPr>
            <w:tcW w:w="2057" w:type="dxa"/>
            <w:tcBorders>
              <w:top w:val="single" w:color="auto" w:sz="4" w:space="0"/>
              <w:left w:val="single" w:color="auto"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0.00</w:t>
            </w:r>
          </w:p>
        </w:tc>
        <w:tc>
          <w:tcPr>
            <w:tcW w:w="1783" w:type="dxa"/>
            <w:tcBorders>
              <w:top w:val="single" w:color="auto" w:sz="4" w:space="0"/>
              <w:left w:val="single" w:color="auto"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7.00</w:t>
            </w:r>
          </w:p>
        </w:tc>
      </w:tr>
    </w:tbl>
    <w:p>
      <w:pPr>
        <w:widowControl w:val="0"/>
        <w:suppressAutoHyphens/>
        <w:bidi w:val="0"/>
        <w:spacing w:before="0" w:after="0"/>
        <w:ind w:left="227" w:right="0" w:firstLine="221" w:firstLineChars="100"/>
        <w:jc w:val="left"/>
        <w:rPr>
          <w:rFonts w:hint="eastAsia" w:ascii="仿宋" w:hAnsi="仿宋" w:eastAsia="仿宋" w:cs="仿宋"/>
          <w:b/>
          <w:bCs/>
          <w:sz w:val="22"/>
          <w:szCs w:val="22"/>
        </w:rPr>
        <w:sectPr>
          <w:footerReference r:id="rId16" w:type="default"/>
          <w:pgSz w:w="16838" w:h="11906" w:orient="landscape"/>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0812" w:type="dxa"/>
        <w:tblInd w:w="-106" w:type="dxa"/>
        <w:tblLayout w:type="fixed"/>
        <w:tblCellMar>
          <w:top w:w="55" w:type="dxa"/>
          <w:left w:w="55" w:type="dxa"/>
          <w:bottom w:w="55" w:type="dxa"/>
          <w:right w:w="55" w:type="dxa"/>
        </w:tblCellMar>
      </w:tblPr>
      <w:tblGrid>
        <w:gridCol w:w="1618"/>
        <w:gridCol w:w="2834"/>
        <w:gridCol w:w="1783"/>
        <w:gridCol w:w="2092"/>
        <w:gridCol w:w="2485"/>
      </w:tblGrid>
      <w:tr>
        <w:tblPrEx>
          <w:tblCellMar>
            <w:top w:w="55" w:type="dxa"/>
            <w:left w:w="55" w:type="dxa"/>
            <w:bottom w:w="55" w:type="dxa"/>
            <w:right w:w="55" w:type="dxa"/>
          </w:tblCellMar>
        </w:tblPrEx>
        <w:trPr>
          <w:trHeight w:val="213" w:hRule="atLeast"/>
        </w:trPr>
        <w:tc>
          <w:tcPr>
            <w:tcW w:w="10812" w:type="dxa"/>
            <w:gridSpan w:val="5"/>
            <w:tcBorders>
              <w:top w:val="nil"/>
              <w:left w:val="nil"/>
              <w:bottom w:val="nil"/>
              <w:right w:val="nil"/>
            </w:tcBorders>
            <w:vAlign w:val="center"/>
          </w:tcPr>
          <w:p>
            <w:pPr>
              <w:pStyle w:val="22"/>
              <w:widowControl w:val="0"/>
              <w:jc w:val="left"/>
              <w:rPr>
                <w:rFonts w:hint="eastAsia" w:ascii="仿宋" w:hAnsi="仿宋" w:eastAsia="仿宋" w:cs="仿宋"/>
              </w:rPr>
            </w:pPr>
            <w:r>
              <w:rPr>
                <w:rFonts w:hint="eastAsia" w:ascii="仿宋" w:hAnsi="仿宋" w:eastAsia="仿宋" w:cs="仿宋"/>
              </w:rPr>
              <w:t>公开</w:t>
            </w:r>
            <w:r>
              <w:rPr>
                <w:rFonts w:hint="eastAsia" w:ascii="仿宋" w:hAnsi="仿宋" w:eastAsia="仿宋" w:cs="仿宋"/>
                <w:lang w:val="en-US" w:eastAsia="zh-CN"/>
              </w:rPr>
              <w:t>10</w:t>
            </w:r>
            <w:r>
              <w:rPr>
                <w:rFonts w:hint="eastAsia" w:ascii="仿宋" w:hAnsi="仿宋" w:eastAsia="仿宋" w:cs="仿宋"/>
              </w:rPr>
              <w:t>表</w:t>
            </w:r>
          </w:p>
        </w:tc>
      </w:tr>
      <w:tr>
        <w:tblPrEx>
          <w:tblCellMar>
            <w:top w:w="55" w:type="dxa"/>
            <w:left w:w="55" w:type="dxa"/>
            <w:bottom w:w="55" w:type="dxa"/>
            <w:right w:w="55" w:type="dxa"/>
          </w:tblCellMar>
        </w:tblPrEx>
        <w:trPr>
          <w:trHeight w:val="213" w:hRule="atLeast"/>
        </w:trPr>
        <w:tc>
          <w:tcPr>
            <w:tcW w:w="10812" w:type="dxa"/>
            <w:gridSpan w:val="5"/>
            <w:tcBorders>
              <w:top w:val="nil"/>
              <w:left w:val="nil"/>
              <w:bottom w:val="nil"/>
              <w:right w:val="nil"/>
            </w:tcBorders>
            <w:vAlign w:val="center"/>
          </w:tcPr>
          <w:p>
            <w:pPr>
              <w:pStyle w:val="22"/>
              <w:widowControl w:val="0"/>
              <w:jc w:val="center"/>
              <w:rPr>
                <w:rFonts w:hint="eastAsia" w:ascii="仿宋" w:hAnsi="仿宋" w:eastAsia="仿宋" w:cs="仿宋"/>
              </w:rPr>
            </w:pPr>
            <w:r>
              <w:rPr>
                <w:rFonts w:hint="eastAsia" w:ascii="仿宋" w:hAnsi="仿宋" w:eastAsia="仿宋" w:cs="仿宋"/>
                <w:b/>
                <w:bCs/>
                <w:sz w:val="44"/>
                <w:szCs w:val="44"/>
              </w:rPr>
              <w:t>政府性基金预算支出表</w:t>
            </w:r>
          </w:p>
        </w:tc>
      </w:tr>
      <w:tr>
        <w:tblPrEx>
          <w:tblCellMar>
            <w:top w:w="55" w:type="dxa"/>
            <w:left w:w="55" w:type="dxa"/>
            <w:bottom w:w="55" w:type="dxa"/>
            <w:right w:w="55" w:type="dxa"/>
          </w:tblCellMar>
        </w:tblPrEx>
        <w:trPr>
          <w:trHeight w:val="213" w:hRule="atLeast"/>
        </w:trPr>
        <w:tc>
          <w:tcPr>
            <w:tcW w:w="8327" w:type="dxa"/>
            <w:gridSpan w:val="4"/>
            <w:tcBorders>
              <w:top w:val="nil"/>
              <w:left w:val="nil"/>
              <w:bottom w:val="single" w:color="auto" w:sz="4" w:space="0"/>
              <w:right w:val="nil"/>
            </w:tcBorders>
            <w:vAlign w:val="center"/>
          </w:tcPr>
          <w:p>
            <w:pPr>
              <w:pStyle w:val="22"/>
              <w:widowControl w:val="0"/>
              <w:jc w:val="left"/>
              <w:rPr>
                <w:rFonts w:hint="eastAsia" w:ascii="仿宋" w:hAnsi="仿宋" w:eastAsia="仿宋" w:cs="仿宋"/>
              </w:rPr>
            </w:pPr>
            <w:r>
              <w:rPr>
                <w:rFonts w:hint="eastAsia" w:ascii="仿宋" w:hAnsi="仿宋" w:eastAsia="仿宋" w:cs="仿宋"/>
                <w:color w:val="000000"/>
                <w:sz w:val="22"/>
                <w:szCs w:val="22"/>
                <w:lang w:eastAsia="zh-CN"/>
              </w:rPr>
              <w:t>部门</w:t>
            </w:r>
            <w:r>
              <w:rPr>
                <w:rFonts w:ascii="仿宋" w:hAnsi="仿宋" w:cs="仿宋" w:eastAsia="仿宋"/>
                <w:color w:val="000000"/>
                <w:sz w:val="22"/>
              </w:rPr>
              <w:t>：</w:t>
            </w:r>
            <w:r>
              <w:rPr>
                <w:rFonts w:hint="eastAsia" w:ascii="仿宋" w:hAnsi="仿宋" w:eastAsia="仿宋" w:cs="仿宋"/>
              </w:rPr>
              <w:t>无锡市滨湖区公共资源交易中心</w:t>
            </w:r>
          </w:p>
        </w:tc>
        <w:tc>
          <w:tcPr>
            <w:tcW w:w="2485" w:type="dxa"/>
            <w:tcBorders>
              <w:top w:val="nil"/>
              <w:left w:val="nil"/>
              <w:bottom w:val="single" w:color="auto" w:sz="4" w:space="0"/>
              <w:right w:val="nil"/>
            </w:tcBorders>
            <w:vAlign w:val="center"/>
          </w:tcPr>
          <w:p>
            <w:pPr>
              <w:pStyle w:val="22"/>
              <w:widowControl w:val="0"/>
              <w:jc w:val="right"/>
              <w:rPr>
                <w:rFonts w:hint="eastAsia" w:ascii="仿宋" w:hAnsi="仿宋" w:eastAsia="仿宋" w:cs="仿宋"/>
              </w:rPr>
            </w:pPr>
            <w:r>
              <w:rPr>
                <w:rFonts w:hint="eastAsia" w:ascii="仿宋" w:hAnsi="仿宋" w:eastAsia="仿宋" w:cs="仿宋"/>
              </w:rPr>
              <w:t>单位：万元</w:t>
            </w:r>
          </w:p>
        </w:tc>
      </w:tr>
      <w:tr>
        <w:tblPrEx>
          <w:tblCellMar>
            <w:top w:w="55" w:type="dxa"/>
            <w:left w:w="55" w:type="dxa"/>
            <w:bottom w:w="55" w:type="dxa"/>
            <w:right w:w="55" w:type="dxa"/>
          </w:tblCellMar>
        </w:tblPrEx>
        <w:trPr>
          <w:trHeight w:val="187" w:hRule="atLeast"/>
        </w:trPr>
        <w:tc>
          <w:tcPr>
            <w:tcW w:w="1618" w:type="dxa"/>
            <w:vMerge w:val="restart"/>
            <w:tcBorders>
              <w:top w:val="single" w:color="auto" w:sz="4" w:space="0"/>
              <w:left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科目编码</w:t>
            </w:r>
          </w:p>
        </w:tc>
        <w:tc>
          <w:tcPr>
            <w:tcW w:w="2834" w:type="dxa"/>
            <w:vMerge w:val="restart"/>
            <w:tcBorders>
              <w:top w:val="single" w:color="auto" w:sz="4" w:space="0"/>
              <w:left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6360" w:type="dxa"/>
            <w:gridSpan w:val="3"/>
            <w:tcBorders>
              <w:top w:val="single" w:color="auto" w:sz="4" w:space="0"/>
              <w:left w:val="single" w:color="auto"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本年政府性基金预算支出</w:t>
            </w:r>
          </w:p>
        </w:tc>
      </w:tr>
      <w:tr>
        <w:tblPrEx>
          <w:tblCellMar>
            <w:top w:w="55" w:type="dxa"/>
            <w:left w:w="55" w:type="dxa"/>
            <w:bottom w:w="55" w:type="dxa"/>
            <w:right w:w="55" w:type="dxa"/>
          </w:tblCellMar>
        </w:tblPrEx>
        <w:trPr>
          <w:trHeight w:val="139" w:hRule="atLeast"/>
        </w:trPr>
        <w:tc>
          <w:tcPr>
            <w:tcW w:w="1618" w:type="dxa"/>
            <w:vMerge w:val="continue"/>
            <w:tcBorders>
              <w:left w:val="single" w:color="auto"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p>
        </w:tc>
        <w:tc>
          <w:tcPr>
            <w:tcW w:w="2834" w:type="dxa"/>
            <w:vMerge w:val="continue"/>
            <w:tcBorders>
              <w:left w:val="single" w:color="auto"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p>
        </w:tc>
        <w:tc>
          <w:tcPr>
            <w:tcW w:w="1783" w:type="dxa"/>
            <w:tcBorders>
              <w:top w:val="single" w:color="auto" w:sz="4" w:space="0"/>
              <w:left w:val="single" w:color="auto" w:sz="4" w:space="0"/>
              <w:bottom w:val="single" w:color="auto" w:sz="4" w:space="0"/>
              <w:right w:val="single" w:color="auto" w:sz="4" w:space="0"/>
            </w:tcBorders>
            <w:vAlign w:val="center"/>
          </w:tcPr>
          <w:p>
            <w:pPr>
              <w:pStyle w:val="22"/>
              <w:widowControl w:val="0"/>
              <w:jc w:val="center"/>
              <w:rPr>
                <w:rFonts w:hint="default" w:ascii="仿宋" w:hAnsi="仿宋" w:eastAsia="仿宋" w:cs="仿宋"/>
                <w:lang w:val="en-US" w:eastAsia="zh-CN"/>
              </w:rPr>
            </w:pPr>
            <w:r>
              <w:rPr>
                <w:rFonts w:hint="eastAsia" w:ascii="仿宋" w:hAnsi="仿宋" w:eastAsia="仿宋" w:cs="仿宋"/>
                <w:lang w:val="en-US" w:eastAsia="zh-CN"/>
              </w:rPr>
              <w:t>合计</w:t>
            </w:r>
          </w:p>
        </w:tc>
        <w:tc>
          <w:tcPr>
            <w:tcW w:w="2092" w:type="dxa"/>
            <w:tcBorders>
              <w:top w:val="single" w:color="auto" w:sz="4" w:space="0"/>
              <w:left w:val="single" w:color="auto"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基本支出</w:t>
            </w:r>
          </w:p>
        </w:tc>
        <w:tc>
          <w:tcPr>
            <w:tcW w:w="2485" w:type="dxa"/>
            <w:tcBorders>
              <w:top w:val="single" w:color="auto" w:sz="4" w:space="0"/>
              <w:left w:val="single" w:color="auto"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项目支出</w:t>
            </w:r>
          </w:p>
        </w:tc>
      </w:tr>
      <w:tr>
        <w:tblPrEx>
          <w:tblCellMar>
            <w:top w:w="55" w:type="dxa"/>
            <w:left w:w="55" w:type="dxa"/>
            <w:bottom w:w="55" w:type="dxa"/>
            <w:right w:w="55" w:type="dxa"/>
          </w:tblCellMar>
        </w:tblPrEx>
        <w:trPr>
          <w:trHeight w:val="462" w:hRule="atLeast"/>
        </w:trPr>
        <w:tc>
          <w:tcPr>
            <w:tcW w:w="1618" w:type="dxa"/>
            <w:tcBorders>
              <w:top w:val="single" w:color="auto" w:sz="4" w:space="0"/>
              <w:left w:val="single" w:color="auto"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
            </w:r>
          </w:p>
        </w:tc>
        <w:tc>
          <w:tcPr>
            <w:tcW w:w="2834" w:type="dxa"/>
            <w:tcBorders>
              <w:top w:val="single" w:color="auto" w:sz="4" w:space="0"/>
              <w:left w:val="single" w:color="auto" w:sz="4" w:space="0"/>
              <w:bottom w:val="single" w:color="auto" w:sz="4" w:space="0"/>
              <w:right w:val="single" w:color="auto" w:sz="4" w:space="0"/>
            </w:tcBorders>
            <w:vAlign w:val="center"/>
          </w:tcPr>
          <w:p>
            <w:pPr>
              <w:pStyle w:val="22"/>
              <w:widowControl w:val="0"/>
              <w:jc w:val="center"/>
              <w:rPr>
                <w:rFonts w:hint="eastAsia" w:ascii="仿宋" w:hAnsi="仿宋" w:eastAsia="仿宋" w:cs="仿宋"/>
                <w:lang w:val="en-US" w:eastAsia="zh-CN"/>
              </w:rPr>
            </w:pPr>
            <w:r>
              <w:rPr>
                <w:rFonts w:hint="eastAsia" w:ascii="仿宋" w:hAnsi="仿宋" w:eastAsia="仿宋" w:cs="仿宋"/>
                <w:lang w:val="en-US" w:eastAsia="zh-CN"/>
              </w:rPr>
              <w:t>合计</w:t>
            </w:r>
          </w:p>
        </w:tc>
        <w:tc>
          <w:tcPr>
            <w:tcW w:w="1783" w:type="dxa"/>
            <w:tcBorders>
              <w:top w:val="single" w:color="auto" w:sz="4" w:space="0"/>
              <w:left w:val="single" w:color="auto" w:sz="4" w:space="0"/>
              <w:bottom w:val="single" w:color="auto" w:sz="4" w:space="0"/>
              <w:right w:val="single" w:color="auto" w:sz="4" w:space="0"/>
            </w:tcBorders>
            <w:vAlign w:val="center"/>
          </w:tcPr>
          <w:p>
            <w:pPr>
              <w:widowControl w:val="0"/>
              <w:jc w:val="right"/>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
            </w:r>
          </w:p>
        </w:tc>
        <w:tc>
          <w:tcPr>
            <w:tcW w:w="2092" w:type="dxa"/>
            <w:tcBorders>
              <w:top w:val="single" w:color="auto" w:sz="4" w:space="0"/>
              <w:left w:val="single" w:color="auto" w:sz="4" w:space="0"/>
              <w:bottom w:val="single" w:color="auto" w:sz="4" w:space="0"/>
              <w:right w:val="single" w:color="auto" w:sz="4" w:space="0"/>
            </w:tcBorders>
            <w:vAlign w:val="center"/>
          </w:tcPr>
          <w:p>
            <w:pPr>
              <w:widowControl w:val="0"/>
              <w:jc w:val="right"/>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
            </w:r>
          </w:p>
        </w:tc>
        <w:tc>
          <w:tcPr>
            <w:tcW w:w="2485" w:type="dxa"/>
            <w:tcBorders>
              <w:top w:val="single" w:color="auto" w:sz="4" w:space="0"/>
              <w:left w:val="single" w:color="auto" w:sz="4" w:space="0"/>
              <w:bottom w:val="single" w:color="auto" w:sz="4" w:space="0"/>
              <w:right w:val="single" w:color="auto" w:sz="4" w:space="0"/>
            </w:tcBorders>
            <w:vAlign w:val="center"/>
          </w:tcPr>
          <w:p>
            <w:pPr>
              <w:widowControl w:val="0"/>
              <w:jc w:val="right"/>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
            </w:r>
          </w:p>
        </w:tc>
      </w:tr>
      <w:tr>
        <w:tblPrEx>
          <w:tblCellMar>
            <w:top w:w="55" w:type="dxa"/>
            <w:left w:w="55" w:type="dxa"/>
            <w:bottom w:w="55" w:type="dxa"/>
            <w:right w:w="55" w:type="dxa"/>
          </w:tblCellMar>
        </w:tblPrEx>
        <w:trPr>
          <w:cantSplit/>
          <w:trHeight w:val="250" w:hRule="atLeast"/>
        </w:trPr>
        <w:tc>
          <w:tcPr>
            <w:tcW w:w="1618" w:type="dxa"/>
            <w:tcBorders>
              <w:top w:val="single" w:color="auto" w:sz="4" w:space="0"/>
              <w:left w:val="single" w:color="auto" w:sz="4" w:space="0"/>
              <w:bottom w:val="single" w:color="auto" w:sz="4" w:space="0"/>
              <w:right w:val="single" w:color="auto" w:sz="4" w:space="0"/>
            </w:tcBorders>
            <w:vAlign w:val="center"/>
          </w:tcPr>
          <w:p>
            <w:pPr>
              <w:widowControl w:val="0"/>
              <w:jc w:val="left"/>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
            </w:r>
          </w:p>
        </w:tc>
        <w:tc>
          <w:tcPr>
            <w:tcW w:w="2834" w:type="dxa"/>
            <w:tcBorders>
              <w:top w:val="single" w:color="auto" w:sz="4" w:space="0"/>
              <w:left w:val="single" w:color="auto" w:sz="4" w:space="0"/>
              <w:bottom w:val="single" w:color="auto" w:sz="4" w:space="0"/>
              <w:right w:val="single" w:color="auto" w:sz="4" w:space="0"/>
            </w:tcBorders>
            <w:vAlign w:val="center"/>
          </w:tcPr>
          <w:p>
            <w:pPr>
              <w:widowControl w:val="0"/>
              <w:jc w:val="left"/>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
            </w:r>
          </w:p>
        </w:tc>
        <w:tc>
          <w:tcPr>
            <w:tcW w:w="1783" w:type="dxa"/>
            <w:tcBorders>
              <w:top w:val="single" w:color="auto" w:sz="4" w:space="0"/>
              <w:left w:val="single" w:color="auto" w:sz="4" w:space="0"/>
              <w:bottom w:val="single" w:color="auto" w:sz="4" w:space="0"/>
              <w:right w:val="single" w:color="auto" w:sz="4" w:space="0"/>
            </w:tcBorders>
            <w:vAlign w:val="center"/>
          </w:tcPr>
          <w:p>
            <w:pPr>
              <w:widowControl w:val="0"/>
              <w:jc w:val="right"/>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
            </w:r>
          </w:p>
        </w:tc>
        <w:tc>
          <w:tcPr>
            <w:tcW w:w="2092" w:type="dxa"/>
            <w:tcBorders>
              <w:top w:val="single" w:color="auto" w:sz="4" w:space="0"/>
              <w:left w:val="single" w:color="auto" w:sz="4" w:space="0"/>
              <w:bottom w:val="single" w:color="auto" w:sz="4" w:space="0"/>
              <w:right w:val="single" w:color="auto" w:sz="4" w:space="0"/>
            </w:tcBorders>
            <w:vAlign w:val="center"/>
          </w:tcPr>
          <w:p>
            <w:pPr>
              <w:widowControl w:val="0"/>
              <w:jc w:val="right"/>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
            </w:r>
          </w:p>
        </w:tc>
        <w:tc>
          <w:tcPr>
            <w:tcW w:w="2485" w:type="dxa"/>
            <w:tcBorders>
              <w:top w:val="single" w:color="auto" w:sz="4" w:space="0"/>
              <w:left w:val="single" w:color="auto" w:sz="4" w:space="0"/>
              <w:bottom w:val="single" w:color="auto" w:sz="4" w:space="0"/>
              <w:right w:val="single" w:color="auto" w:sz="4" w:space="0"/>
            </w:tcBorders>
            <w:vAlign w:val="center"/>
          </w:tcPr>
          <w:p>
            <w:pPr>
              <w:widowControl w:val="0"/>
              <w:jc w:val="right"/>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
            </w:r>
          </w:p>
        </w:tc>
      </w:tr>
      <w:tr>
        <w:tblPrEx>
          <w:tblCellMar>
            <w:top w:w="55" w:type="dxa"/>
            <w:left w:w="55" w:type="dxa"/>
            <w:bottom w:w="55" w:type="dxa"/>
            <w:right w:w="55" w:type="dxa"/>
          </w:tblCellMar>
        </w:tblPrEx>
        <w:trPr>
          <w:cantSplit/>
          <w:trHeight w:val="250" w:hRule="atLeast"/>
        </w:trPr>
        <w:tc>
          <w:tcPr>
            <w:tcW w:w="1618" w:type="dxa"/>
            <w:tcBorders>
              <w:top w:val="single" w:color="auto" w:sz="4" w:space="0"/>
              <w:left w:val="single" w:color="auto" w:sz="4" w:space="0"/>
              <w:bottom w:val="single" w:color="auto" w:sz="4" w:space="0"/>
              <w:right w:val="single" w:color="auto" w:sz="4" w:space="0"/>
            </w:tcBorders>
            <w:vAlign w:val="center"/>
          </w:tcPr>
          <w:p>
            <w:pPr>
              <w:widowControl w:val="0"/>
              <w:jc w:val="left"/>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
            </w:r>
          </w:p>
        </w:tc>
        <w:tc>
          <w:tcPr>
            <w:tcW w:w="2834" w:type="dxa"/>
            <w:tcBorders>
              <w:top w:val="single" w:color="auto" w:sz="4" w:space="0"/>
              <w:left w:val="single" w:color="auto" w:sz="4" w:space="0"/>
              <w:bottom w:val="single" w:color="auto" w:sz="4" w:space="0"/>
              <w:right w:val="single" w:color="auto" w:sz="4" w:space="0"/>
            </w:tcBorders>
            <w:vAlign w:val="center"/>
          </w:tcPr>
          <w:p>
            <w:pPr>
              <w:widowControl w:val="0"/>
              <w:jc w:val="left"/>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
            </w:r>
          </w:p>
        </w:tc>
        <w:tc>
          <w:tcPr>
            <w:tcW w:w="1783" w:type="dxa"/>
            <w:tcBorders>
              <w:top w:val="single" w:color="auto" w:sz="4" w:space="0"/>
              <w:left w:val="single" w:color="auto" w:sz="4" w:space="0"/>
              <w:bottom w:val="single" w:color="auto" w:sz="4" w:space="0"/>
              <w:right w:val="single" w:color="auto" w:sz="4" w:space="0"/>
            </w:tcBorders>
            <w:vAlign w:val="center"/>
          </w:tcPr>
          <w:p>
            <w:pPr>
              <w:widowControl w:val="0"/>
              <w:jc w:val="right"/>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
            </w:r>
          </w:p>
        </w:tc>
        <w:tc>
          <w:tcPr>
            <w:tcW w:w="2092" w:type="dxa"/>
            <w:tcBorders>
              <w:top w:val="single" w:color="auto" w:sz="4" w:space="0"/>
              <w:left w:val="single" w:color="auto" w:sz="4" w:space="0"/>
              <w:bottom w:val="single" w:color="auto" w:sz="4" w:space="0"/>
              <w:right w:val="single" w:color="auto" w:sz="4" w:space="0"/>
            </w:tcBorders>
            <w:vAlign w:val="center"/>
          </w:tcPr>
          <w:p>
            <w:pPr>
              <w:widowControl w:val="0"/>
              <w:jc w:val="right"/>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
            </w:r>
          </w:p>
        </w:tc>
        <w:tc>
          <w:tcPr>
            <w:tcW w:w="2485" w:type="dxa"/>
            <w:tcBorders>
              <w:top w:val="single" w:color="auto" w:sz="4" w:space="0"/>
              <w:left w:val="single" w:color="auto" w:sz="4" w:space="0"/>
              <w:bottom w:val="single" w:color="auto" w:sz="4" w:space="0"/>
              <w:right w:val="single" w:color="auto" w:sz="4" w:space="0"/>
            </w:tcBorders>
            <w:vAlign w:val="center"/>
          </w:tcPr>
          <w:p>
            <w:pPr>
              <w:widowControl w:val="0"/>
              <w:jc w:val="right"/>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
            </w:r>
          </w:p>
        </w:tc>
      </w:tr>
    </w:tbl>
    <w:p>
      <w:pPr>
        <w:numPr>
          <w:ilvl w:val="0"/>
          <w:numId w:val="0"/>
        </w:numPr>
        <w:spacing w:before="25" w:after="0"/>
        <w:rPr>
          <w:rFonts w:hint="default" w:ascii="仿宋" w:hAnsi="仿宋" w:eastAsia="仿宋" w:cs="仿宋"/>
          <w:b/>
          <w:bCs/>
          <w:sz w:val="22"/>
          <w:szCs w:val="22"/>
          <w:lang w:val="en-US" w:eastAsia="zh-CN"/>
        </w:rPr>
      </w:pPr>
      <w:r>
        <w:rPr>
          <w:rFonts w:hint="eastAsia" w:ascii="仿宋" w:hAnsi="仿宋" w:eastAsia="仿宋" w:cs="仿宋"/>
          <w:b/>
          <w:bCs/>
          <w:sz w:val="22"/>
          <w:szCs w:val="22"/>
          <w:lang w:val="en-US" w:eastAsia="zh-CN"/>
        </w:rPr>
        <w:t/>
      </w:r>
      <w:r>
        <w:rPr>
          <w:rFonts w:hint="eastAsia" w:ascii="仿宋" w:hAnsi="仿宋" w:eastAsia="仿宋" w:cs="仿宋"/>
          <w:b/>
          <w:bCs/>
          <w:sz w:val="22"/>
          <w:szCs w:val="22"/>
        </w:rPr>
        <w:t>注：</w:t>
      </w:r>
      <w:r>
        <w:rPr>
          <w:rFonts w:hint="eastAsia" w:ascii="仿宋" w:hAnsi="仿宋" w:eastAsia="仿宋" w:cs="仿宋"/>
          <w:b/>
          <w:bCs/>
          <w:sz w:val="22"/>
          <w:szCs w:val="22"/>
          <w:lang w:val="en-US" w:eastAsia="zh-CN"/>
        </w:rPr>
        <w:t>本</w:t>
      </w:r>
      <w:r>
        <w:rPr>
          <w:rFonts w:ascii="仿宋" w:hAnsi="仿宋" w:cs="仿宋" w:eastAsia="仿宋"/>
          <w:b w:val="true"/>
          <w:sz w:val="22"/>
        </w:rPr>
        <w:t>部门</w:t>
      </w:r>
      <w:r>
        <w:rPr>
          <w:rFonts w:ascii="仿宋" w:hAnsi="仿宋" w:cs="仿宋" w:eastAsia="仿宋"/>
          <w:b w:val="true"/>
          <w:sz w:val="22"/>
        </w:rPr>
        <w:t>无政府性基金预算，也没有使用政府性基金安排的支出，故本表无数据。</w:t>
      </w:r>
      <w:r>
        <w:rPr>
          <w:rFonts w:ascii="仿宋" w:hAnsi="仿宋" w:cs="仿宋" w:eastAsia="仿宋"/>
          <w:b w:val="true"/>
          <w:sz w:val="22"/>
        </w:rPr>
        <w:t/>
      </w:r>
    </w:p>
    <w:p>
      <w:pPr>
        <w:widowControl w:val="0"/>
        <w:numPr>
          <w:ilvl w:val="0"/>
          <w:numId w:val="0"/>
        </w:numPr>
        <w:suppressAutoHyphens/>
        <w:bidi w:val="0"/>
        <w:spacing w:before="25" w:after="0"/>
        <w:jc w:val="left"/>
        <w:rPr>
          <w:rFonts w:hint="default" w:ascii="仿宋" w:hAnsi="仿宋" w:eastAsia="仿宋" w:cs="仿宋"/>
          <w:b/>
          <w:bCs/>
          <w:sz w:val="22"/>
          <w:szCs w:val="22"/>
          <w:lang w:val="en-US" w:eastAsia="zh-CN"/>
        </w:rPr>
        <w:sectPr>
          <w:footerReference r:id="rId17" w:type="default"/>
          <w:pgSz w:w="11906" w:h="16838"/>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4695" w:type="dxa"/>
        <w:jc w:val="center"/>
        <w:tblLayout w:type="fixed"/>
        <w:tblCellMar>
          <w:top w:w="0" w:type="dxa"/>
          <w:left w:w="108" w:type="dxa"/>
          <w:bottom w:w="0" w:type="dxa"/>
          <w:right w:w="108" w:type="dxa"/>
        </w:tblCellMar>
      </w:tblPr>
      <w:tblGrid>
        <w:gridCol w:w="1596"/>
        <w:gridCol w:w="3803"/>
        <w:gridCol w:w="3111"/>
        <w:gridCol w:w="3094"/>
        <w:gridCol w:w="3091"/>
      </w:tblGrid>
      <w:tr>
        <w:tblPrEx>
          <w:tblCellMar>
            <w:top w:w="0" w:type="dxa"/>
            <w:left w:w="108" w:type="dxa"/>
            <w:bottom w:w="0" w:type="dxa"/>
            <w:right w:w="108" w:type="dxa"/>
          </w:tblCellMar>
        </w:tblPrEx>
        <w:trPr>
          <w:trHeight w:val="447" w:hRule="atLeast"/>
          <w:jc w:val="center"/>
        </w:trPr>
        <w:tc>
          <w:tcPr>
            <w:tcW w:w="14695" w:type="dxa"/>
            <w:gridSpan w:val="5"/>
            <w:tcBorders>
              <w:top w:val="nil"/>
              <w:left w:val="nil"/>
              <w:bottom w:val="nil"/>
              <w:right w:val="nil"/>
            </w:tcBorders>
            <w:shd w:val="clear" w:color="auto" w:fill="auto"/>
            <w:vAlign w:val="center"/>
          </w:tcPr>
          <w:p>
            <w:pPr>
              <w:widowControl/>
              <w:jc w:val="left"/>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公开11表</w:t>
            </w:r>
          </w:p>
        </w:tc>
      </w:tr>
      <w:tr>
        <w:tblPrEx>
          <w:tblCellMar>
            <w:top w:w="0" w:type="dxa"/>
            <w:left w:w="108" w:type="dxa"/>
            <w:bottom w:w="0" w:type="dxa"/>
            <w:right w:w="108" w:type="dxa"/>
          </w:tblCellMar>
        </w:tblPrEx>
        <w:trPr>
          <w:trHeight w:val="960" w:hRule="atLeast"/>
          <w:jc w:val="center"/>
        </w:trPr>
        <w:tc>
          <w:tcPr>
            <w:tcW w:w="14695" w:type="dxa"/>
            <w:gridSpan w:val="5"/>
            <w:tcBorders>
              <w:top w:val="nil"/>
              <w:left w:val="nil"/>
              <w:bottom w:val="nil"/>
              <w:right w:val="nil"/>
            </w:tcBorders>
            <w:shd w:val="clear" w:color="auto" w:fill="auto"/>
            <w:vAlign w:val="center"/>
          </w:tcPr>
          <w:p>
            <w:pPr>
              <w:widowControl/>
              <w:jc w:val="center"/>
              <w:rPr>
                <w:rFonts w:hint="eastAsia" w:ascii="仿宋" w:hAnsi="仿宋" w:eastAsia="仿宋" w:cs="仿宋"/>
                <w:color w:val="auto"/>
                <w:kern w:val="0"/>
                <w:sz w:val="22"/>
                <w:szCs w:val="22"/>
                <w:lang w:val="zh-CN" w:eastAsia="zh-CN" w:bidi="zh-CN"/>
              </w:rPr>
            </w:pPr>
            <w:r>
              <w:rPr>
                <w:rFonts w:hint="eastAsia" w:ascii="仿宋" w:hAnsi="仿宋" w:eastAsia="仿宋" w:cs="仿宋"/>
                <w:b/>
                <w:bCs/>
                <w:color w:val="auto"/>
                <w:kern w:val="0"/>
                <w:sz w:val="44"/>
                <w:szCs w:val="44"/>
                <w:lang w:val="zh-CN" w:eastAsia="zh-CN" w:bidi="zh-CN"/>
              </w:rPr>
              <w:t>国有资本经营预算支出预算表</w:t>
            </w:r>
          </w:p>
        </w:tc>
      </w:tr>
      <w:tr>
        <w:tblPrEx>
          <w:tblCellMar>
            <w:top w:w="0" w:type="dxa"/>
            <w:left w:w="108" w:type="dxa"/>
            <w:bottom w:w="0" w:type="dxa"/>
            <w:right w:w="108" w:type="dxa"/>
          </w:tblCellMar>
        </w:tblPrEx>
        <w:trPr>
          <w:trHeight w:val="319" w:hRule="atLeast"/>
          <w:jc w:val="center"/>
        </w:trPr>
        <w:tc>
          <w:tcPr>
            <w:tcW w:w="11604" w:type="dxa"/>
            <w:gridSpan w:val="4"/>
            <w:tcBorders>
              <w:top w:val="nil"/>
              <w:left w:val="nil"/>
              <w:bottom w:val="single" w:color="auto" w:sz="4" w:space="0"/>
              <w:right w:val="nil"/>
            </w:tcBorders>
            <w:shd w:val="clear" w:color="auto" w:fill="auto"/>
            <w:vAlign w:val="center"/>
          </w:tcPr>
          <w:p>
            <w:pPr>
              <w:widowControl/>
              <w:jc w:val="left"/>
              <w:rPr>
                <w:rFonts w:hint="eastAsia" w:ascii="仿宋" w:hAnsi="仿宋" w:eastAsia="仿宋" w:cs="仿宋"/>
                <w:color w:val="auto"/>
                <w:kern w:val="0"/>
                <w:sz w:val="22"/>
                <w:szCs w:val="22"/>
                <w:lang w:val="zh-CN" w:eastAsia="zh-CN" w:bidi="zh-CN"/>
              </w:rPr>
            </w:pPr>
            <w:r>
              <w:rPr>
                <w:rFonts w:hint="eastAsia" w:ascii="仿宋" w:hAnsi="仿宋" w:eastAsia="仿宋" w:cs="仿宋"/>
                <w:color w:val="000000"/>
                <w:sz w:val="22"/>
                <w:szCs w:val="22"/>
                <w:lang w:eastAsia="zh-CN"/>
              </w:rPr>
              <w:t>部门</w:t>
            </w:r>
            <w:r>
              <w:rPr>
                <w:rFonts w:ascii="仿宋" w:hAnsi="仿宋" w:cs="仿宋" w:eastAsia="仿宋"/>
                <w:color w:val="000000"/>
                <w:sz w:val="22"/>
              </w:rPr>
              <w:t>：</w:t>
            </w:r>
            <w:r>
              <w:rPr>
                <w:rFonts w:hint="eastAsia" w:ascii="仿宋" w:hAnsi="仿宋" w:eastAsia="仿宋" w:cs="仿宋"/>
              </w:rPr>
              <w:t>无锡市滨湖区公共资源交易中心</w:t>
            </w:r>
          </w:p>
        </w:tc>
        <w:tc>
          <w:tcPr>
            <w:tcW w:w="3091" w:type="dxa"/>
            <w:tcBorders>
              <w:top w:val="nil"/>
              <w:left w:val="nil"/>
              <w:bottom w:val="nil"/>
              <w:right w:val="nil"/>
            </w:tcBorders>
            <w:shd w:val="clear" w:color="auto" w:fill="auto"/>
            <w:noWrap/>
            <w:vAlign w:val="center"/>
          </w:tcPr>
          <w:p>
            <w:pPr>
              <w:widowControl/>
              <w:jc w:val="right"/>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单位：万元</w:t>
            </w:r>
          </w:p>
        </w:tc>
      </w:tr>
      <w:tr>
        <w:tblPrEx>
          <w:tblCellMar>
            <w:top w:w="0" w:type="dxa"/>
            <w:left w:w="108" w:type="dxa"/>
            <w:bottom w:w="0" w:type="dxa"/>
            <w:right w:w="108" w:type="dxa"/>
          </w:tblCellMar>
        </w:tblPrEx>
        <w:trPr>
          <w:trHeight w:val="143" w:hRule="atLeast"/>
          <w:jc w:val="center"/>
        </w:trPr>
        <w:tc>
          <w:tcPr>
            <w:tcW w:w="5399"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项    目</w:t>
            </w:r>
          </w:p>
        </w:tc>
        <w:tc>
          <w:tcPr>
            <w:tcW w:w="3111"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本年支出合计</w:t>
            </w:r>
          </w:p>
        </w:tc>
        <w:tc>
          <w:tcPr>
            <w:tcW w:w="3094"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 xml:space="preserve">基本支出  </w:t>
            </w:r>
          </w:p>
        </w:tc>
        <w:tc>
          <w:tcPr>
            <w:tcW w:w="3091"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项目支出</w:t>
            </w:r>
          </w:p>
        </w:tc>
      </w:tr>
      <w:tr>
        <w:tblPrEx>
          <w:tblCellMar>
            <w:top w:w="0" w:type="dxa"/>
            <w:left w:w="108" w:type="dxa"/>
            <w:bottom w:w="0" w:type="dxa"/>
            <w:right w:w="108" w:type="dxa"/>
          </w:tblCellMar>
        </w:tblPrEx>
        <w:trPr>
          <w:trHeight w:val="201" w:hRule="atLeast"/>
          <w:jc w:val="center"/>
        </w:trPr>
        <w:tc>
          <w:tcPr>
            <w:tcW w:w="1596" w:type="dxa"/>
            <w:tcBorders>
              <w:top w:val="nil"/>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功能分类</w:t>
            </w:r>
          </w:p>
          <w:p>
            <w:pPr>
              <w:keepNext w:val="0"/>
              <w:keepLines w:val="0"/>
              <w:pageBreakBefore w:val="0"/>
              <w:widowControl/>
              <w:kinsoku/>
              <w:wordWrap/>
              <w:overflowPunct/>
              <w:topLinePunct w:val="0"/>
              <w:autoSpaceDE/>
              <w:autoSpaceDN/>
              <w:bidi w:val="0"/>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科目编码</w:t>
            </w:r>
          </w:p>
        </w:tc>
        <w:tc>
          <w:tcPr>
            <w:tcW w:w="3803"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科目名称</w:t>
            </w:r>
          </w:p>
        </w:tc>
        <w:tc>
          <w:tcPr>
            <w:tcW w:w="3111" w:type="dxa"/>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4" w:lineRule="atLeast"/>
              <w:jc w:val="left"/>
              <w:textAlignment w:val="auto"/>
              <w:rPr>
                <w:rFonts w:hint="eastAsia" w:ascii="仿宋" w:hAnsi="仿宋" w:eastAsia="仿宋" w:cs="仿宋"/>
                <w:color w:val="auto"/>
                <w:kern w:val="0"/>
                <w:sz w:val="22"/>
                <w:szCs w:val="22"/>
                <w:lang w:val="zh-CN" w:eastAsia="zh-CN" w:bidi="zh-CN"/>
              </w:rPr>
            </w:pPr>
          </w:p>
        </w:tc>
        <w:tc>
          <w:tcPr>
            <w:tcW w:w="3094" w:type="dxa"/>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4" w:lineRule="atLeast"/>
              <w:jc w:val="left"/>
              <w:textAlignment w:val="auto"/>
              <w:rPr>
                <w:rFonts w:hint="eastAsia" w:ascii="仿宋" w:hAnsi="仿宋" w:eastAsia="仿宋" w:cs="仿宋"/>
                <w:color w:val="auto"/>
                <w:kern w:val="0"/>
                <w:sz w:val="22"/>
                <w:szCs w:val="22"/>
                <w:lang w:val="zh-CN" w:eastAsia="zh-CN" w:bidi="zh-CN"/>
              </w:rPr>
            </w:pPr>
          </w:p>
        </w:tc>
        <w:tc>
          <w:tcPr>
            <w:tcW w:w="3091" w:type="dxa"/>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4" w:lineRule="atLeast"/>
              <w:jc w:val="left"/>
              <w:textAlignment w:val="auto"/>
              <w:rPr>
                <w:rFonts w:hint="eastAsia" w:ascii="仿宋" w:hAnsi="仿宋" w:eastAsia="仿宋" w:cs="仿宋"/>
                <w:color w:val="auto"/>
                <w:kern w:val="0"/>
                <w:sz w:val="22"/>
                <w:szCs w:val="22"/>
                <w:lang w:val="zh-CN" w:eastAsia="zh-CN" w:bidi="zh-CN"/>
              </w:rPr>
            </w:pPr>
          </w:p>
        </w:tc>
      </w:tr>
      <w:tr>
        <w:tblPrEx>
          <w:tblCellMar>
            <w:top w:w="0" w:type="dxa"/>
            <w:left w:w="108" w:type="dxa"/>
            <w:bottom w:w="0" w:type="dxa"/>
            <w:right w:w="108" w:type="dxa"/>
          </w:tblCellMar>
        </w:tblPrEx>
        <w:trPr>
          <w:trHeight w:val="90" w:hRule="atLeast"/>
          <w:jc w:val="center"/>
        </w:trPr>
        <w:tc>
          <w:tcPr>
            <w:tcW w:w="5399"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栏次</w:t>
            </w:r>
          </w:p>
        </w:tc>
        <w:tc>
          <w:tcPr>
            <w:tcW w:w="311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1</w:t>
            </w:r>
          </w:p>
        </w:tc>
        <w:tc>
          <w:tcPr>
            <w:tcW w:w="309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2</w:t>
            </w:r>
          </w:p>
        </w:tc>
        <w:tc>
          <w:tcPr>
            <w:tcW w:w="309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3</w:t>
            </w:r>
          </w:p>
        </w:tc>
      </w:tr>
      <w:tr>
        <w:tblPrEx>
          <w:tblCellMar>
            <w:top w:w="0" w:type="dxa"/>
            <w:left w:w="108" w:type="dxa"/>
            <w:bottom w:w="0" w:type="dxa"/>
            <w:right w:w="108" w:type="dxa"/>
          </w:tblCellMar>
        </w:tblPrEx>
        <w:trPr>
          <w:trHeight w:val="246" w:hRule="atLeast"/>
          <w:jc w:val="center"/>
        </w:trPr>
        <w:tc>
          <w:tcPr>
            <w:tcW w:w="5399"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sz w:val="22"/>
                <w:szCs w:val="22"/>
              </w:rPr>
              <w:t/>
            </w:r>
            <w:r>
              <w:rPr>
                <w:rFonts w:hint="eastAsia" w:ascii="仿宋" w:hAnsi="仿宋" w:eastAsia="仿宋" w:cs="仿宋"/>
                <w:color w:val="auto"/>
                <w:kern w:val="0"/>
                <w:sz w:val="22"/>
                <w:szCs w:val="22"/>
                <w:lang w:val="zh-CN" w:eastAsia="zh-CN" w:bidi="zh-CN"/>
              </w:rPr>
              <w:t>合计</w:t>
            </w:r>
          </w:p>
        </w:tc>
        <w:tc>
          <w:tcPr>
            <w:tcW w:w="311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sz w:val="22"/>
                <w:szCs w:val="22"/>
              </w:rPr>
              <w:t/>
            </w:r>
          </w:p>
        </w:tc>
        <w:tc>
          <w:tcPr>
            <w:tcW w:w="309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sz w:val="22"/>
                <w:szCs w:val="22"/>
              </w:rPr>
              <w:t/>
            </w:r>
          </w:p>
        </w:tc>
        <w:tc>
          <w:tcPr>
            <w:tcW w:w="309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sz w:val="22"/>
                <w:szCs w:val="22"/>
              </w:rPr>
              <w:t/>
            </w:r>
          </w:p>
        </w:tc>
      </w:tr>
      <w:tr>
        <w:tblPrEx>
          <w:tblCellMar>
            <w:top w:w="0" w:type="dxa"/>
            <w:left w:w="108" w:type="dxa"/>
            <w:bottom w:w="0" w:type="dxa"/>
            <w:right w:w="108" w:type="dxa"/>
          </w:tblCellMar>
        </w:tblPrEx>
        <w:trPr>
          <w:trHeight w:val="90" w:hRule="atLeast"/>
          <w:jc w:val="center"/>
        </w:trPr>
        <w:tc>
          <w:tcPr>
            <w:tcW w:w="159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center"/>
              <w:textAlignment w:val="auto"/>
              <w:rPr>
                <w:rFonts w:hint="eastAsia" w:ascii="仿宋" w:hAnsi="仿宋" w:eastAsia="仿宋" w:cs="仿宋"/>
                <w:sz w:val="22"/>
                <w:szCs w:val="22"/>
              </w:rPr>
            </w:pPr>
            <w:r>
              <w:rPr>
                <w:rFonts w:hint="eastAsia" w:ascii="仿宋" w:hAnsi="仿宋" w:eastAsia="仿宋" w:cs="仿宋"/>
                <w:color w:val="auto"/>
                <w:kern w:val="0"/>
                <w:sz w:val="22"/>
                <w:szCs w:val="22"/>
                <w:lang w:val="zh-CN" w:eastAsia="zh-CN" w:bidi="zh-CN"/>
              </w:rPr>
              <w:t/>
            </w:r>
          </w:p>
        </w:tc>
        <w:tc>
          <w:tcPr>
            <w:tcW w:w="3803"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center"/>
              <w:textAlignment w:val="auto"/>
              <w:rPr>
                <w:rFonts w:hint="eastAsia" w:ascii="仿宋" w:hAnsi="仿宋" w:eastAsia="仿宋" w:cs="仿宋"/>
                <w:sz w:val="22"/>
                <w:szCs w:val="22"/>
              </w:rPr>
            </w:pPr>
            <w:r>
              <w:rPr>
                <w:rFonts w:hint="eastAsia" w:ascii="仿宋" w:hAnsi="仿宋" w:eastAsia="仿宋" w:cs="仿宋"/>
                <w:color w:val="auto"/>
                <w:kern w:val="0"/>
                <w:sz w:val="22"/>
                <w:szCs w:val="22"/>
                <w:lang w:val="zh-CN" w:eastAsia="zh-CN" w:bidi="zh-CN"/>
              </w:rPr>
              <w:t/>
            </w:r>
          </w:p>
        </w:tc>
        <w:tc>
          <w:tcPr>
            <w:tcW w:w="311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
            </w:r>
          </w:p>
        </w:tc>
        <w:tc>
          <w:tcPr>
            <w:tcW w:w="309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
            </w:r>
          </w:p>
        </w:tc>
        <w:tc>
          <w:tcPr>
            <w:tcW w:w="309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
            </w:r>
          </w:p>
        </w:tc>
      </w:tr>
      <w:tr>
        <w:tblPrEx>
          <w:tblCellMar>
            <w:top w:w="0" w:type="dxa"/>
            <w:left w:w="108" w:type="dxa"/>
            <w:bottom w:w="0" w:type="dxa"/>
            <w:right w:w="108" w:type="dxa"/>
          </w:tblCellMar>
        </w:tblPrEx>
        <w:trPr>
          <w:trHeight w:val="90" w:hRule="atLeast"/>
          <w:jc w:val="center"/>
        </w:trPr>
        <w:tc>
          <w:tcPr>
            <w:tcW w:w="159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center"/>
              <w:textAlignment w:val="auto"/>
              <w:rPr>
                <w:rFonts w:hint="eastAsia" w:ascii="仿宋" w:hAnsi="仿宋" w:eastAsia="仿宋" w:cs="仿宋"/>
                <w:sz w:val="22"/>
                <w:szCs w:val="22"/>
              </w:rPr>
            </w:pPr>
            <w:r>
              <w:rPr>
                <w:rFonts w:hint="eastAsia" w:ascii="仿宋" w:hAnsi="仿宋" w:eastAsia="仿宋" w:cs="仿宋"/>
                <w:color w:val="auto"/>
                <w:kern w:val="0"/>
                <w:sz w:val="22"/>
                <w:szCs w:val="22"/>
                <w:lang w:val="zh-CN" w:eastAsia="zh-CN" w:bidi="zh-CN"/>
              </w:rPr>
              <w:t/>
            </w:r>
          </w:p>
        </w:tc>
        <w:tc>
          <w:tcPr>
            <w:tcW w:w="3803"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center"/>
              <w:textAlignment w:val="auto"/>
              <w:rPr>
                <w:rFonts w:hint="eastAsia" w:ascii="仿宋" w:hAnsi="仿宋" w:eastAsia="仿宋" w:cs="仿宋"/>
                <w:sz w:val="22"/>
                <w:szCs w:val="22"/>
              </w:rPr>
            </w:pPr>
            <w:r>
              <w:rPr>
                <w:rFonts w:hint="eastAsia" w:ascii="仿宋" w:hAnsi="仿宋" w:eastAsia="仿宋" w:cs="仿宋"/>
                <w:color w:val="auto"/>
                <w:kern w:val="0"/>
                <w:sz w:val="22"/>
                <w:szCs w:val="22"/>
                <w:lang w:val="zh-CN" w:eastAsia="zh-CN" w:bidi="zh-CN"/>
              </w:rPr>
              <w:t/>
            </w:r>
          </w:p>
        </w:tc>
        <w:tc>
          <w:tcPr>
            <w:tcW w:w="311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
            </w:r>
          </w:p>
        </w:tc>
        <w:tc>
          <w:tcPr>
            <w:tcW w:w="309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
            </w:r>
          </w:p>
        </w:tc>
        <w:tc>
          <w:tcPr>
            <w:tcW w:w="309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
            </w:r>
          </w:p>
        </w:tc>
      </w:tr>
    </w:tbl>
    <w:p>
      <w:pPr>
        <w:numPr>
          <w:ilvl w:val="0"/>
          <w:numId w:val="0"/>
        </w:numPr>
        <w:spacing w:before="25" w:after="0"/>
        <w:ind w:firstLine="442" w:firstLineChars="200"/>
        <w:rPr>
          <w:rFonts w:hint="default" w:ascii="仿宋" w:hAnsi="仿宋" w:eastAsia="仿宋" w:cs="仿宋"/>
          <w:b/>
          <w:bCs/>
          <w:sz w:val="22"/>
          <w:szCs w:val="22"/>
          <w:lang w:val="en-US" w:eastAsia="zh-CN"/>
        </w:rPr>
      </w:pPr>
      <w:r>
        <w:rPr>
          <w:rFonts w:hint="eastAsia" w:ascii="仿宋" w:hAnsi="仿宋" w:eastAsia="仿宋" w:cs="仿宋"/>
          <w:b/>
          <w:bCs/>
          <w:sz w:val="22"/>
          <w:szCs w:val="22"/>
          <w:lang w:val="en-US" w:eastAsia="zh-CN"/>
        </w:rPr>
        <w:t/>
      </w:r>
      <w:r>
        <w:rPr>
          <w:rFonts w:ascii="仿宋" w:hAnsi="仿宋" w:cs="仿宋" w:eastAsia="仿宋"/>
          <w:b w:val="true"/>
          <w:sz w:val="22"/>
        </w:rPr>
        <w:t>注：本</w:t>
      </w:r>
      <w:r>
        <w:rPr>
          <w:rFonts w:ascii="仿宋" w:hAnsi="仿宋" w:cs="仿宋" w:eastAsia="仿宋"/>
          <w:b w:val="true"/>
          <w:sz w:val="22"/>
        </w:rPr>
        <w:t>部门</w:t>
      </w:r>
      <w:r>
        <w:rPr>
          <w:rFonts w:ascii="仿宋" w:hAnsi="仿宋" w:cs="仿宋" w:eastAsia="仿宋"/>
          <w:b w:val="true"/>
          <w:sz w:val="22"/>
        </w:rPr>
        <w:t>无</w:t>
      </w:r>
      <w:r>
        <w:rPr>
          <w:rFonts w:hint="eastAsia" w:ascii="仿宋" w:hAnsi="仿宋" w:eastAsia="仿宋" w:cs="仿宋"/>
          <w:b/>
          <w:bCs/>
          <w:sz w:val="22"/>
          <w:szCs w:val="22"/>
          <w:lang w:val="zh-CN" w:eastAsia="zh-CN"/>
        </w:rPr>
        <w:t>国有资本经营预算支出</w:t>
      </w:r>
      <w:r>
        <w:rPr>
          <w:rFonts w:hint="eastAsia" w:ascii="仿宋" w:hAnsi="仿宋" w:eastAsia="仿宋" w:cs="仿宋"/>
          <w:b/>
          <w:bCs/>
          <w:sz w:val="22"/>
          <w:szCs w:val="22"/>
          <w:lang w:val="en-US" w:eastAsia="zh-CN"/>
        </w:rPr>
        <w:t>，故本表无数据。</w:t>
      </w:r>
      <w:r>
        <w:rPr>
          <w:rFonts w:ascii="仿宋" w:hAnsi="仿宋" w:cs="仿宋" w:eastAsia="仿宋"/>
          <w:b w:val="true"/>
          <w:sz w:val="22"/>
        </w:rPr>
        <w:t/>
      </w:r>
    </w:p>
    <w:p>
      <w:pPr>
        <w:widowControl w:val="0"/>
        <w:numPr>
          <w:ilvl w:val="0"/>
          <w:numId w:val="0"/>
        </w:numPr>
        <w:suppressAutoHyphens/>
        <w:bidi w:val="0"/>
        <w:spacing w:before="25" w:after="0"/>
        <w:jc w:val="left"/>
        <w:rPr>
          <w:rFonts w:hint="default" w:ascii="仿宋" w:hAnsi="仿宋" w:eastAsia="仿宋" w:cs="仿宋"/>
          <w:b/>
          <w:bCs/>
          <w:sz w:val="22"/>
          <w:szCs w:val="22"/>
          <w:lang w:val="en-US" w:eastAsia="zh-CN"/>
        </w:rPr>
        <w:sectPr>
          <w:pgSz w:w="16838" w:h="11906" w:orient="landscape"/>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0235" w:type="dxa"/>
        <w:tblInd w:w="-403" w:type="dxa"/>
        <w:tblLayout w:type="fixed"/>
        <w:tblCellMar>
          <w:top w:w="55" w:type="dxa"/>
          <w:left w:w="55" w:type="dxa"/>
          <w:bottom w:w="55" w:type="dxa"/>
          <w:right w:w="55" w:type="dxa"/>
        </w:tblCellMar>
      </w:tblPr>
      <w:tblGrid>
        <w:gridCol w:w="3088"/>
        <w:gridCol w:w="2876"/>
        <w:gridCol w:w="1920"/>
        <w:gridCol w:w="2351"/>
      </w:tblGrid>
      <w:tr>
        <w:tblPrEx>
          <w:tblCellMar>
            <w:top w:w="55" w:type="dxa"/>
            <w:left w:w="55" w:type="dxa"/>
            <w:bottom w:w="55" w:type="dxa"/>
            <w:right w:w="55" w:type="dxa"/>
          </w:tblCellMar>
        </w:tblPrEx>
        <w:trPr>
          <w:trHeight w:val="319" w:hRule="atLeast"/>
        </w:trPr>
        <w:tc>
          <w:tcPr>
            <w:tcW w:w="10235" w:type="dxa"/>
            <w:gridSpan w:val="4"/>
          </w:tcPr>
          <w:p>
            <w:pPr>
              <w:pStyle w:val="22"/>
              <w:widowControl w:val="0"/>
              <w:tabs>
                <w:tab w:val="left" w:pos="610"/>
              </w:tabs>
              <w:spacing w:before="28" w:after="0"/>
              <w:ind w:left="8" w:firstLine="0"/>
              <w:jc w:val="left"/>
              <w:rPr>
                <w:rFonts w:hint="eastAsia" w:ascii="仿宋" w:hAnsi="仿宋" w:eastAsia="仿宋" w:cs="仿宋"/>
                <w:b/>
                <w:bCs/>
                <w:sz w:val="44"/>
                <w:szCs w:val="44"/>
              </w:rPr>
            </w:pPr>
            <w:r>
              <w:rPr>
                <w:rFonts w:hint="eastAsia" w:ascii="仿宋" w:hAnsi="仿宋" w:eastAsia="仿宋" w:cs="仿宋"/>
              </w:rPr>
              <w:t>公开1</w:t>
            </w:r>
            <w:r>
              <w:rPr>
                <w:rFonts w:hint="eastAsia" w:ascii="仿宋" w:hAnsi="仿宋" w:eastAsia="仿宋" w:cs="仿宋"/>
                <w:lang w:val="en-US" w:eastAsia="zh-CN"/>
              </w:rPr>
              <w:t>2</w:t>
            </w:r>
            <w:r>
              <w:rPr>
                <w:rFonts w:hint="eastAsia" w:ascii="仿宋" w:hAnsi="仿宋" w:eastAsia="仿宋" w:cs="仿宋"/>
              </w:rPr>
              <w:t>表</w:t>
            </w:r>
          </w:p>
        </w:tc>
      </w:tr>
      <w:tr>
        <w:tblPrEx>
          <w:tblCellMar>
            <w:top w:w="55" w:type="dxa"/>
            <w:left w:w="55" w:type="dxa"/>
            <w:bottom w:w="55" w:type="dxa"/>
            <w:right w:w="55" w:type="dxa"/>
          </w:tblCellMar>
        </w:tblPrEx>
        <w:trPr>
          <w:trHeight w:val="90" w:hRule="atLeast"/>
        </w:trPr>
        <w:tc>
          <w:tcPr>
            <w:tcW w:w="10235" w:type="dxa"/>
            <w:gridSpan w:val="4"/>
          </w:tcPr>
          <w:p>
            <w:pPr>
              <w:pStyle w:val="22"/>
              <w:widowControl w:val="0"/>
              <w:jc w:val="center"/>
              <w:rPr>
                <w:rFonts w:hint="eastAsia" w:ascii="仿宋" w:hAnsi="仿宋" w:eastAsia="仿宋" w:cs="仿宋"/>
              </w:rPr>
            </w:pPr>
            <w:r>
              <w:rPr>
                <w:rFonts w:hint="eastAsia" w:ascii="仿宋" w:hAnsi="仿宋" w:eastAsia="仿宋" w:cs="仿宋"/>
                <w:b/>
                <w:bCs/>
                <w:sz w:val="44"/>
                <w:szCs w:val="44"/>
              </w:rPr>
              <w:t>一般公共预算机关运行经费支出预算表</w:t>
            </w:r>
          </w:p>
        </w:tc>
      </w:tr>
      <w:tr>
        <w:tblPrEx>
          <w:tblCellMar>
            <w:top w:w="55" w:type="dxa"/>
            <w:left w:w="55" w:type="dxa"/>
            <w:bottom w:w="55" w:type="dxa"/>
            <w:right w:w="55" w:type="dxa"/>
          </w:tblCellMar>
        </w:tblPrEx>
        <w:trPr>
          <w:trHeight w:val="90" w:hRule="atLeast"/>
        </w:trPr>
        <w:tc>
          <w:tcPr>
            <w:tcW w:w="7884" w:type="dxa"/>
            <w:gridSpan w:val="3"/>
            <w:tcBorders>
              <w:bottom w:val="single" w:color="auto" w:sz="4" w:space="0"/>
            </w:tcBorders>
            <w:vAlign w:val="center"/>
          </w:tcPr>
          <w:p>
            <w:pPr>
              <w:pStyle w:val="22"/>
              <w:widowControl w:val="0"/>
              <w:jc w:val="left"/>
              <w:rPr>
                <w:rFonts w:hint="eastAsia" w:ascii="仿宋" w:hAnsi="仿宋" w:eastAsia="仿宋" w:cs="仿宋"/>
                <w:sz w:val="20"/>
              </w:rPr>
            </w:pPr>
            <w:r>
              <w:rPr>
                <w:rFonts w:hint="eastAsia" w:ascii="仿宋" w:hAnsi="仿宋" w:eastAsia="仿宋" w:cs="仿宋"/>
                <w:color w:val="000000"/>
                <w:sz w:val="22"/>
                <w:szCs w:val="22"/>
                <w:lang w:eastAsia="zh-CN"/>
              </w:rPr>
              <w:t>部门</w:t>
            </w:r>
            <w:r>
              <w:rPr>
                <w:rFonts w:ascii="仿宋" w:hAnsi="仿宋" w:cs="仿宋" w:eastAsia="仿宋"/>
                <w:color w:val="000000"/>
                <w:sz w:val="22"/>
              </w:rPr>
              <w:t>：</w:t>
            </w:r>
            <w:r>
              <w:rPr>
                <w:rFonts w:hint="eastAsia" w:ascii="仿宋" w:hAnsi="仿宋" w:eastAsia="仿宋" w:cs="仿宋"/>
              </w:rPr>
              <w:t>无锡市滨湖区公共资源交易中心</w:t>
            </w:r>
          </w:p>
        </w:tc>
        <w:tc>
          <w:tcPr>
            <w:tcW w:w="2351" w:type="dxa"/>
            <w:tcBorders>
              <w:bottom w:val="single" w:color="auto" w:sz="4" w:space="0"/>
            </w:tcBorders>
            <w:vAlign w:val="center"/>
          </w:tcPr>
          <w:p>
            <w:pPr>
              <w:pStyle w:val="22"/>
              <w:widowControl w:val="0"/>
              <w:jc w:val="right"/>
              <w:rPr>
                <w:rFonts w:hint="eastAsia" w:ascii="仿宋" w:hAnsi="仿宋" w:eastAsia="仿宋" w:cs="仿宋"/>
                <w:sz w:val="27"/>
              </w:rPr>
            </w:pPr>
            <w:r>
              <w:rPr>
                <w:rFonts w:hint="eastAsia" w:ascii="仿宋" w:hAnsi="仿宋" w:eastAsia="仿宋" w:cs="仿宋"/>
                <w:lang w:eastAsia="zh-CN"/>
              </w:rPr>
              <w:t>单位</w:t>
            </w:r>
            <w:r>
              <w:rPr>
                <w:rFonts w:hint="eastAsia" w:ascii="仿宋" w:hAnsi="仿宋" w:eastAsia="仿宋" w:cs="仿宋"/>
              </w:rPr>
              <w:t>：万元</w:t>
            </w:r>
          </w:p>
        </w:tc>
      </w:tr>
      <w:tr>
        <w:tblPrEx>
          <w:tblCellMar>
            <w:top w:w="55" w:type="dxa"/>
            <w:left w:w="55" w:type="dxa"/>
            <w:bottom w:w="55" w:type="dxa"/>
            <w:right w:w="55" w:type="dxa"/>
          </w:tblCellMar>
        </w:tblPrEx>
        <w:trPr>
          <w:trHeight w:val="363" w:hRule="atLeast"/>
        </w:trPr>
        <w:tc>
          <w:tcPr>
            <w:tcW w:w="3088" w:type="dxa"/>
            <w:tcBorders>
              <w:top w:val="single" w:color="auto" w:sz="4" w:space="0"/>
              <w:left w:val="single" w:color="auto" w:sz="4" w:space="0"/>
              <w:bottom w:val="single" w:color="auto"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科目编码</w:t>
            </w:r>
          </w:p>
        </w:tc>
        <w:tc>
          <w:tcPr>
            <w:tcW w:w="2876"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科目名称</w:t>
            </w:r>
          </w:p>
        </w:tc>
        <w:tc>
          <w:tcPr>
            <w:tcW w:w="4271" w:type="dxa"/>
            <w:gridSpan w:val="2"/>
            <w:tcBorders>
              <w:top w:val="single" w:color="auto" w:sz="4" w:space="0"/>
              <w:left w:val="single" w:color="000000" w:sz="4" w:space="0"/>
              <w:bottom w:val="single" w:color="auto" w:sz="4" w:space="0"/>
              <w:right w:val="single" w:color="auto" w:sz="4" w:space="0"/>
            </w:tcBorders>
          </w:tcPr>
          <w:p>
            <w:pPr>
              <w:widowControl w:val="0"/>
              <w:jc w:val="center"/>
              <w:rPr>
                <w:rFonts w:hint="eastAsia" w:ascii="仿宋" w:hAnsi="仿宋" w:eastAsia="仿宋" w:cs="仿宋"/>
                <w:sz w:val="22"/>
                <w:szCs w:val="22"/>
              </w:rPr>
            </w:pPr>
            <w:r>
              <w:rPr>
                <w:rFonts w:hint="eastAsia" w:ascii="仿宋" w:hAnsi="仿宋" w:eastAsia="仿宋" w:cs="仿宋"/>
                <w:sz w:val="22"/>
                <w:szCs w:val="22"/>
              </w:rPr>
              <w:t>机关运行经费支出</w:t>
            </w:r>
          </w:p>
        </w:tc>
      </w:tr>
      <w:tr>
        <w:tblPrEx>
          <w:tblCellMar>
            <w:top w:w="55" w:type="dxa"/>
            <w:left w:w="55" w:type="dxa"/>
            <w:bottom w:w="55" w:type="dxa"/>
            <w:right w:w="55" w:type="dxa"/>
          </w:tblCellMar>
        </w:tblPrEx>
        <w:trPr>
          <w:cantSplit/>
          <w:trHeight w:val="227" w:hRule="atLeast"/>
        </w:trPr>
        <w:tc>
          <w:tcPr>
            <w:tcW w:w="5964" w:type="dxa"/>
            <w:gridSpan w:val="2"/>
            <w:tcBorders>
              <w:top w:val="single" w:color="000000" w:sz="4" w:space="0"/>
              <w:left w:val="single" w:color="auto" w:sz="4" w:space="0"/>
              <w:bottom w:val="single" w:color="auto" w:sz="4" w:space="0"/>
              <w:right w:val="single" w:color="000000" w:sz="4" w:space="0"/>
            </w:tcBorders>
            <w:vAlign w:val="top"/>
          </w:tcPr>
          <w:p>
            <w:pPr>
              <w:pStyle w:val="22"/>
              <w:widowControl w:val="0"/>
              <w:jc w:val="center"/>
              <w:rPr>
                <w:rFonts w:hint="default" w:ascii="仿宋" w:hAnsi="仿宋" w:eastAsia="仿宋" w:cs="仿宋"/>
                <w:sz w:val="22"/>
                <w:szCs w:val="22"/>
                <w:lang w:val="en-US" w:eastAsia="zh-CN"/>
              </w:rPr>
            </w:pPr>
            <w:r>
              <w:rPr>
                <w:rFonts w:hint="eastAsia" w:ascii="仿宋" w:hAnsi="仿宋" w:eastAsia="仿宋" w:cs="仿宋"/>
                <w:sz w:val="22"/>
                <w:szCs w:val="22"/>
              </w:rPr>
              <w:t/>
            </w:r>
            <w:r>
              <w:rPr>
                <w:rFonts w:hint="eastAsia" w:ascii="仿宋" w:hAnsi="仿宋" w:eastAsia="仿宋" w:cs="仿宋"/>
                <w:sz w:val="22"/>
                <w:szCs w:val="22"/>
                <w:lang w:val="en-US" w:eastAsia="zh-CN"/>
              </w:rPr>
              <w:t>合计</w:t>
            </w:r>
          </w:p>
        </w:tc>
        <w:tc>
          <w:tcPr>
            <w:tcW w:w="4271" w:type="dxa"/>
            <w:gridSpan w:val="2"/>
            <w:tcBorders>
              <w:top w:val="single" w:color="000000" w:sz="4" w:space="0"/>
              <w:left w:val="single" w:color="000000" w:sz="4" w:space="0"/>
              <w:bottom w:val="single" w:color="auto" w:sz="4" w:space="0"/>
              <w:right w:val="single" w:color="auto"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auto" w:sz="4" w:space="0"/>
              <w:bottom w:val="single" w:color="auto"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w:r>
          </w:p>
        </w:tc>
        <w:tc>
          <w:tcPr>
            <w:tcW w:w="2876" w:type="dxa"/>
            <w:tcBorders>
              <w:top w:val="single" w:color="000000" w:sz="4" w:space="0"/>
              <w:left w:val="single" w:color="000000" w:sz="4" w:space="0"/>
              <w:bottom w:val="single" w:color="auto"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w:r>
          </w:p>
        </w:tc>
        <w:tc>
          <w:tcPr>
            <w:tcW w:w="4271" w:type="dxa"/>
            <w:gridSpan w:val="2"/>
            <w:tcBorders>
              <w:top w:val="single" w:color="000000" w:sz="4" w:space="0"/>
              <w:left w:val="single" w:color="000000" w:sz="4" w:space="0"/>
              <w:bottom w:val="single" w:color="auto" w:sz="4" w:space="0"/>
              <w:right w:val="single" w:color="auto"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27" w:hRule="atLeast"/>
        </w:trPr>
        <w:tc>
          <w:tcPr>
            <w:tcW w:w="3088" w:type="dxa"/>
            <w:tcBorders>
              <w:top w:val="single" w:color="000000" w:sz="4" w:space="0"/>
              <w:left w:val="single" w:color="auto" w:sz="4" w:space="0"/>
              <w:bottom w:val="single" w:color="auto"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w:r>
          </w:p>
        </w:tc>
        <w:tc>
          <w:tcPr>
            <w:tcW w:w="2876" w:type="dxa"/>
            <w:tcBorders>
              <w:top w:val="single" w:color="000000" w:sz="4" w:space="0"/>
              <w:left w:val="single" w:color="000000" w:sz="4" w:space="0"/>
              <w:bottom w:val="single" w:color="auto"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w:r>
          </w:p>
        </w:tc>
        <w:tc>
          <w:tcPr>
            <w:tcW w:w="4271" w:type="dxa"/>
            <w:gridSpan w:val="2"/>
            <w:tcBorders>
              <w:top w:val="single" w:color="000000" w:sz="4" w:space="0"/>
              <w:left w:val="single" w:color="000000" w:sz="4" w:space="0"/>
              <w:bottom w:val="single" w:color="auto" w:sz="4" w:space="0"/>
              <w:right w:val="single" w:color="auto"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bl>
    <w:p>
      <w:pPr>
        <w:numPr>
          <w:ilvl w:val="0"/>
          <w:numId w:val="0"/>
        </w:numPr>
        <w:tabs>
          <w:tab w:val="left" w:pos="-440"/>
        </w:tabs>
        <w:spacing w:before="25" w:after="0"/>
        <w:ind w:left="-440" w:leftChars="0" w:right="-220" w:rightChars="-100" w:firstLine="0" w:firstLineChars="0"/>
        <w:rPr>
          <w:rFonts w:hint="default" w:ascii="仿宋" w:hAnsi="仿宋" w:eastAsia="仿宋" w:cs="仿宋"/>
          <w:b/>
          <w:bCs/>
          <w:sz w:val="22"/>
          <w:szCs w:val="22"/>
          <w:lang w:val="en-US" w:eastAsia="zh-CN"/>
        </w:rPr>
      </w:pPr>
      <w:r>
        <w:rPr>
          <w:rFonts w:hint="eastAsia" w:ascii="仿宋" w:hAnsi="仿宋" w:eastAsia="仿宋" w:cs="仿宋"/>
          <w:b/>
          <w:bCs/>
          <w:sz w:val="22"/>
          <w:szCs w:val="22"/>
          <w:lang w:val="en-US" w:eastAsia="zh-CN"/>
        </w:rPr>
        <w:t>注：1.</w:t>
      </w:r>
      <w:r>
        <w:rPr>
          <w:rFonts w:hint="eastAsia" w:ascii="仿宋" w:hAnsi="仿宋" w:eastAsia="仿宋" w:cs="仿宋"/>
          <w:b/>
          <w:bCs/>
          <w:sz w:val="22"/>
          <w:szCs w:val="22"/>
        </w:rPr>
        <w:t>“机关运行经费”指行政单位（含参照公务员法管理的事业单位）使用一般公共预算安排的基本支出中的日常公用经费支出，包括办公及印刷费、邮电费、差旅费、会议费、福利费、日常维修费、专用材料及一般设备购置费、办公用房水电费、办公用房取暖费、办公用房物业管理费、公务用车运行维护费及其他费用等。</w:t>
      </w:r>
    </w:p>
    <w:p>
      <w:pPr>
        <w:numPr>
          <w:ilvl w:val="0"/>
          <w:numId w:val="0"/>
        </w:numPr>
        <w:tabs>
          <w:tab w:val="left" w:pos="-440"/>
        </w:tabs>
        <w:spacing w:before="25" w:after="0"/>
        <w:ind w:left="-440" w:leftChars="0" w:firstLine="0" w:firstLineChars="0"/>
        <w:rPr>
          <w:rFonts w:hint="eastAsia" w:ascii="仿宋" w:hAnsi="仿宋" w:eastAsia="仿宋" w:cs="仿宋"/>
          <w:b/>
          <w:bCs/>
          <w:sz w:val="22"/>
          <w:szCs w:val="22"/>
        </w:rPr>
      </w:pPr>
      <w:r>
        <w:rPr>
          <w:rFonts w:hint="eastAsia" w:ascii="仿宋" w:hAnsi="仿宋" w:eastAsia="仿宋" w:cs="仿宋"/>
          <w:b/>
          <w:bCs/>
          <w:sz w:val="22"/>
          <w:szCs w:val="22"/>
        </w:rPr>
        <w:t/>
      </w:r>
      <w:r>
        <w:rPr>
          <w:rFonts w:hint="eastAsia" w:ascii="仿宋" w:hAnsi="仿宋" w:eastAsia="仿宋" w:cs="仿宋"/>
          <w:b/>
          <w:bCs/>
          <w:sz w:val="22"/>
          <w:szCs w:val="22"/>
          <w:lang w:val="en-US" w:eastAsia="zh-CN"/>
        </w:rPr>
        <w:t>2.</w:t>
      </w:r>
      <w:r>
        <w:rPr>
          <w:rFonts w:hint="eastAsia" w:ascii="仿宋" w:hAnsi="仿宋" w:eastAsia="仿宋" w:cs="仿宋"/>
          <w:b/>
          <w:bCs/>
          <w:sz w:val="22"/>
          <w:szCs w:val="22"/>
          <w:lang w:eastAsia="zh-CN"/>
        </w:rPr>
        <w:t>本</w:t>
      </w:r>
      <w:r>
        <w:rPr>
          <w:rFonts w:ascii="仿宋" w:hAnsi="仿宋" w:cs="仿宋" w:eastAsia="仿宋"/>
          <w:b w:val="true"/>
          <w:sz w:val="22"/>
        </w:rPr>
        <w:t>部门</w:t>
      </w:r>
      <w:r>
        <w:rPr>
          <w:rFonts w:ascii="仿宋" w:hAnsi="仿宋" w:cs="仿宋" w:eastAsia="仿宋"/>
          <w:b w:val="true"/>
          <w:sz w:val="22"/>
        </w:rPr>
        <w:t>无一般公共预算机关运行经费支出，故本表无数据。</w:t>
      </w:r>
      <w:r>
        <w:rPr>
          <w:rFonts w:ascii="仿宋" w:hAnsi="仿宋" w:cs="仿宋" w:eastAsia="仿宋"/>
          <w:b w:val="true"/>
          <w:sz w:val="22"/>
        </w:rPr>
        <w:t/>
      </w:r>
    </w:p>
    <w:p>
      <w:pPr>
        <w:widowControl w:val="0"/>
        <w:suppressAutoHyphens/>
        <w:bidi w:val="0"/>
        <w:spacing w:before="78" w:after="0" w:line="290" w:lineRule="auto"/>
        <w:ind w:left="227" w:right="57" w:firstLine="0"/>
        <w:jc w:val="both"/>
        <w:rPr>
          <w:rFonts w:hint="eastAsia" w:ascii="仿宋" w:hAnsi="仿宋" w:eastAsia="仿宋" w:cs="仿宋"/>
          <w:b/>
          <w:bCs/>
          <w:sz w:val="22"/>
          <w:szCs w:val="22"/>
        </w:rPr>
        <w:sectPr>
          <w:footerReference r:id="rId18" w:type="default"/>
          <w:pgSz w:w="11906" w:h="16838"/>
          <w:pgMar w:top="1100" w:right="906" w:bottom="770" w:left="13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bookmarkStart w:id="0" w:name="_GoBack"/>
      <w:bookmarkEnd w:id="0"/>
    </w:p>
    <w:tbl>
      <w:tblPr>
        <w:tblStyle w:val="12"/>
        <w:tblW w:w="15273"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fixed"/>
        <w:tblCellMar>
          <w:top w:w="15" w:type="dxa"/>
          <w:left w:w="15" w:type="dxa"/>
          <w:bottom w:w="15" w:type="dxa"/>
          <w:right w:w="15" w:type="dxa"/>
        </w:tblCellMar>
      </w:tblPr>
      <w:tblGrid>
        <w:gridCol w:w="1512"/>
        <w:gridCol w:w="2502"/>
        <w:gridCol w:w="1440"/>
        <w:gridCol w:w="2280"/>
        <w:gridCol w:w="1776"/>
        <w:gridCol w:w="1105"/>
        <w:gridCol w:w="1121"/>
        <w:gridCol w:w="947"/>
        <w:gridCol w:w="1169"/>
        <w:gridCol w:w="142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c>
          <w:tcPr>
            <w:tcW w:w="15273" w:type="dxa"/>
            <w:gridSpan w:val="10"/>
            <w:tcBorders>
              <w:top w:val="nil"/>
              <w:left w:val="nil"/>
              <w:bottom w:val="nil"/>
              <w:right w:val="nil"/>
            </w:tcBorders>
            <w:shd w:val="clear" w:color="auto" w:fill="FFFFFF"/>
            <w:tcMar>
              <w:top w:w="0" w:type="dxa"/>
              <w:left w:w="0" w:type="dxa"/>
              <w:bottom w:w="0" w:type="dxa"/>
              <w:right w:w="0" w:type="dxa"/>
            </w:tcMar>
            <w:vAlign w:val="center"/>
          </w:tcPr>
          <w:p>
            <w:pPr>
              <w:pStyle w:val="22"/>
              <w:widowControl w:val="0"/>
              <w:jc w:val="left"/>
              <w:rPr>
                <w:rFonts w:hint="eastAsia" w:ascii="仿宋" w:hAnsi="仿宋" w:eastAsia="仿宋" w:cs="仿宋"/>
                <w:b/>
                <w:bCs/>
                <w:color w:val="auto"/>
                <w:kern w:val="0"/>
                <w:sz w:val="44"/>
                <w:szCs w:val="44"/>
                <w:lang w:val="en-US" w:eastAsia="zh-CN" w:bidi="zh-CN"/>
              </w:rPr>
            </w:pPr>
            <w:r>
              <w:rPr>
                <w:rFonts w:hint="eastAsia" w:ascii="仿宋" w:hAnsi="仿宋" w:eastAsia="仿宋" w:cs="仿宋"/>
              </w:rPr>
              <w:t>公开1</w:t>
            </w:r>
            <w:r>
              <w:rPr>
                <w:rFonts w:hint="eastAsia" w:ascii="仿宋" w:hAnsi="仿宋" w:eastAsia="仿宋" w:cs="仿宋"/>
                <w:lang w:val="en-US" w:eastAsia="zh-CN"/>
              </w:rPr>
              <w:t>3</w:t>
            </w:r>
            <w:r>
              <w:rPr>
                <w:rFonts w:hint="eastAsia" w:ascii="仿宋" w:hAnsi="仿宋" w:eastAsia="仿宋" w:cs="仿宋"/>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c>
          <w:tcPr>
            <w:tcW w:w="15273" w:type="dxa"/>
            <w:gridSpan w:val="10"/>
            <w:tcBorders>
              <w:top w:val="nil"/>
              <w:left w:val="nil"/>
              <w:bottom w:val="nil"/>
              <w:right w:val="nil"/>
            </w:tcBorders>
            <w:shd w:val="clear" w:color="auto" w:fill="FFFFFF"/>
            <w:tcMar>
              <w:top w:w="0" w:type="dxa"/>
              <w:left w:w="0" w:type="dxa"/>
              <w:bottom w:w="0" w:type="dxa"/>
              <w:right w:w="0" w:type="dxa"/>
            </w:tcMar>
            <w:vAlign w:val="center"/>
          </w:tcPr>
          <w:p>
            <w:pPr>
              <w:pStyle w:val="22"/>
              <w:widowControl w:val="0"/>
              <w:jc w:val="center"/>
              <w:rPr>
                <w:rFonts w:hint="eastAsia" w:ascii="仿宋" w:hAnsi="仿宋" w:eastAsia="仿宋" w:cs="仿宋"/>
                <w:lang w:val="en-US" w:eastAsia="zh-CN"/>
              </w:rPr>
            </w:pPr>
            <w:r>
              <w:rPr>
                <w:rFonts w:hint="eastAsia" w:ascii="仿宋" w:hAnsi="仿宋" w:eastAsia="仿宋" w:cs="仿宋"/>
                <w:b/>
                <w:bCs/>
                <w:color w:val="auto"/>
                <w:kern w:val="0"/>
                <w:sz w:val="44"/>
                <w:szCs w:val="44"/>
                <w:lang w:val="en-US" w:eastAsia="zh-CN" w:bidi="zh-CN"/>
              </w:rPr>
              <w:t>政府采购支出表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c>
          <w:tcPr>
            <w:tcW w:w="9510" w:type="dxa"/>
            <w:gridSpan w:val="5"/>
            <w:tcBorders>
              <w:top w:val="nil"/>
              <w:left w:val="nil"/>
              <w:bottom w:val="single" w:color="auto" w:sz="4" w:space="0"/>
              <w:right w:val="nil"/>
            </w:tcBorders>
            <w:shd w:val="clear" w:color="auto" w:fill="FFFFFF"/>
            <w:tcMar>
              <w:top w:w="0" w:type="dxa"/>
              <w:left w:w="0" w:type="dxa"/>
              <w:bottom w:w="0" w:type="dxa"/>
              <w:right w:w="0" w:type="dxa"/>
            </w:tcMar>
            <w:vAlign w:val="center"/>
          </w:tcPr>
          <w:p>
            <w:pPr>
              <w:pStyle w:val="22"/>
              <w:widowControl w:val="0"/>
              <w:jc w:val="left"/>
              <w:rPr>
                <w:rFonts w:hint="eastAsia" w:ascii="仿宋" w:hAnsi="仿宋" w:eastAsia="仿宋" w:cs="仿宋"/>
                <w:lang w:val="en-US" w:eastAsia="zh-CN"/>
              </w:rPr>
            </w:pPr>
            <w:r>
              <w:rPr>
                <w:rFonts w:hint="eastAsia" w:ascii="仿宋" w:hAnsi="仿宋" w:eastAsia="仿宋" w:cs="仿宋"/>
                <w:color w:val="000000"/>
                <w:sz w:val="22"/>
                <w:szCs w:val="22"/>
                <w:lang w:eastAsia="zh-CN"/>
              </w:rPr>
              <w:t>部门</w:t>
            </w:r>
            <w:r>
              <w:rPr>
                <w:rFonts w:ascii="仿宋" w:hAnsi="仿宋" w:cs="仿宋" w:eastAsia="仿宋"/>
                <w:color w:val="000000"/>
                <w:sz w:val="22"/>
              </w:rPr>
              <w:t>：</w:t>
            </w:r>
            <w:r>
              <w:rPr>
                <w:rFonts w:hint="eastAsia" w:ascii="仿宋" w:hAnsi="仿宋" w:eastAsia="仿宋" w:cs="仿宋"/>
              </w:rPr>
              <w:t>无锡市滨湖区公共资源交易中心</w:t>
            </w:r>
          </w:p>
        </w:tc>
        <w:tc>
          <w:tcPr>
            <w:tcW w:w="4342" w:type="dxa"/>
            <w:gridSpan w:val="4"/>
            <w:tcBorders>
              <w:top w:val="nil"/>
              <w:left w:val="nil"/>
              <w:bottom w:val="single" w:color="auto" w:sz="4" w:space="0"/>
              <w:right w:val="nil"/>
            </w:tcBorders>
            <w:shd w:val="clear" w:color="auto" w:fill="FFFFFF"/>
            <w:tcMar>
              <w:top w:w="0" w:type="dxa"/>
              <w:left w:w="0" w:type="dxa"/>
              <w:bottom w:w="0" w:type="dxa"/>
              <w:right w:w="0" w:type="dxa"/>
            </w:tcMar>
            <w:vAlign w:val="center"/>
          </w:tcPr>
          <w:p>
            <w:pPr>
              <w:pStyle w:val="22"/>
              <w:widowControl w:val="0"/>
              <w:jc w:val="left"/>
              <w:rPr>
                <w:rFonts w:hint="eastAsia" w:ascii="仿宋" w:hAnsi="仿宋" w:eastAsia="仿宋" w:cs="仿宋"/>
                <w:lang w:val="en-US" w:eastAsia="zh-CN"/>
              </w:rPr>
            </w:pPr>
          </w:p>
        </w:tc>
        <w:tc>
          <w:tcPr>
            <w:tcW w:w="1421" w:type="dxa"/>
            <w:tcBorders>
              <w:top w:val="nil"/>
              <w:left w:val="nil"/>
              <w:bottom w:val="single" w:color="auto" w:sz="4" w:space="0"/>
              <w:right w:val="nil"/>
            </w:tcBorders>
            <w:shd w:val="clear" w:color="auto" w:fill="FFFFFF"/>
            <w:tcMar>
              <w:top w:w="0" w:type="dxa"/>
              <w:left w:w="0" w:type="dxa"/>
              <w:bottom w:w="0" w:type="dxa"/>
              <w:right w:w="0" w:type="dxa"/>
            </w:tcMar>
            <w:vAlign w:val="center"/>
          </w:tcPr>
          <w:p>
            <w:pPr>
              <w:pStyle w:val="22"/>
              <w:widowControl w:val="0"/>
              <w:jc w:val="right"/>
              <w:rPr>
                <w:rFonts w:hint="eastAsia" w:ascii="仿宋" w:hAnsi="仿宋" w:eastAsia="仿宋" w:cs="仿宋"/>
                <w:lang w:val="en-US" w:eastAsia="zh-CN"/>
              </w:rPr>
            </w:pPr>
            <w:r>
              <w:rPr>
                <w:rFonts w:hint="eastAsia" w:ascii="仿宋" w:hAnsi="仿宋" w:eastAsia="仿宋" w:cs="仿宋"/>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c>
          <w:tcPr>
            <w:tcW w:w="1512" w:type="dxa"/>
            <w:vMerge w:val="restart"/>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34" w:lineRule="atLeast"/>
              <w:jc w:val="center"/>
              <w:textAlignment w:val="auto"/>
              <w:rPr>
                <w:rFonts w:hint="eastAsia" w:ascii="仿宋" w:hAnsi="仿宋" w:eastAsia="仿宋" w:cs="仿宋"/>
              </w:rPr>
            </w:pPr>
            <w:r>
              <w:rPr>
                <w:rFonts w:hint="eastAsia" w:ascii="仿宋" w:hAnsi="仿宋" w:eastAsia="仿宋" w:cs="仿宋"/>
                <w:lang w:val="en-US" w:eastAsia="zh-CN"/>
              </w:rPr>
              <w:t>采购品目大类</w:t>
            </w:r>
          </w:p>
        </w:tc>
        <w:tc>
          <w:tcPr>
            <w:tcW w:w="2502" w:type="dxa"/>
            <w:vMerge w:val="restart"/>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34" w:lineRule="atLeast"/>
              <w:jc w:val="center"/>
              <w:textAlignment w:val="auto"/>
              <w:rPr>
                <w:rFonts w:hint="eastAsia" w:ascii="仿宋" w:hAnsi="仿宋" w:eastAsia="仿宋" w:cs="仿宋"/>
              </w:rPr>
            </w:pPr>
            <w:r>
              <w:rPr>
                <w:rFonts w:hint="eastAsia" w:ascii="仿宋" w:hAnsi="仿宋" w:eastAsia="仿宋" w:cs="仿宋"/>
                <w:lang w:val="en-US" w:eastAsia="zh-CN"/>
              </w:rPr>
              <w:t>专项名称</w:t>
            </w:r>
          </w:p>
        </w:tc>
        <w:tc>
          <w:tcPr>
            <w:tcW w:w="1440" w:type="dxa"/>
            <w:vMerge w:val="restart"/>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34" w:lineRule="atLeast"/>
              <w:jc w:val="center"/>
              <w:textAlignment w:val="auto"/>
              <w:rPr>
                <w:rFonts w:hint="eastAsia" w:ascii="仿宋" w:hAnsi="仿宋" w:eastAsia="仿宋" w:cs="仿宋"/>
              </w:rPr>
            </w:pPr>
            <w:r>
              <w:rPr>
                <w:rFonts w:hint="eastAsia" w:ascii="仿宋" w:hAnsi="仿宋" w:eastAsia="仿宋" w:cs="仿宋"/>
                <w:lang w:val="en-US" w:eastAsia="zh-CN"/>
              </w:rPr>
              <w:t>经济科目</w:t>
            </w:r>
          </w:p>
        </w:tc>
        <w:tc>
          <w:tcPr>
            <w:tcW w:w="2280" w:type="dxa"/>
            <w:vMerge w:val="restart"/>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34" w:lineRule="atLeast"/>
              <w:jc w:val="center"/>
              <w:textAlignment w:val="auto"/>
              <w:rPr>
                <w:rFonts w:hint="eastAsia" w:ascii="仿宋" w:hAnsi="仿宋" w:eastAsia="仿宋" w:cs="仿宋"/>
              </w:rPr>
            </w:pPr>
            <w:r>
              <w:rPr>
                <w:rFonts w:hint="eastAsia" w:ascii="仿宋" w:hAnsi="仿宋" w:eastAsia="仿宋" w:cs="仿宋"/>
                <w:lang w:val="en-US" w:eastAsia="zh-CN"/>
              </w:rPr>
              <w:t>采购品目名称</w:t>
            </w:r>
          </w:p>
        </w:tc>
        <w:tc>
          <w:tcPr>
            <w:tcW w:w="1776" w:type="dxa"/>
            <w:vMerge w:val="restart"/>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34" w:lineRule="atLeast"/>
              <w:jc w:val="center"/>
              <w:textAlignment w:val="auto"/>
              <w:rPr>
                <w:rFonts w:hint="eastAsia" w:ascii="仿宋" w:hAnsi="仿宋" w:eastAsia="仿宋" w:cs="仿宋"/>
              </w:rPr>
            </w:pPr>
            <w:r>
              <w:rPr>
                <w:rFonts w:hint="eastAsia" w:ascii="仿宋" w:hAnsi="仿宋" w:eastAsia="仿宋" w:cs="仿宋"/>
                <w:lang w:val="en-US" w:eastAsia="zh-CN"/>
              </w:rPr>
              <w:t>采购组织形式</w:t>
            </w:r>
          </w:p>
        </w:tc>
        <w:tc>
          <w:tcPr>
            <w:tcW w:w="4342" w:type="dxa"/>
            <w:gridSpan w:val="4"/>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34" w:lineRule="atLeast"/>
              <w:jc w:val="center"/>
              <w:textAlignment w:val="auto"/>
              <w:rPr>
                <w:rFonts w:hint="eastAsia" w:ascii="仿宋" w:hAnsi="仿宋" w:eastAsia="仿宋" w:cs="仿宋"/>
              </w:rPr>
            </w:pPr>
            <w:r>
              <w:rPr>
                <w:rFonts w:hint="eastAsia" w:ascii="仿宋" w:hAnsi="仿宋" w:eastAsia="仿宋" w:cs="仿宋"/>
                <w:lang w:val="en-US" w:eastAsia="zh-CN"/>
              </w:rPr>
              <w:t>资金来源</w:t>
            </w:r>
          </w:p>
        </w:tc>
        <w:tc>
          <w:tcPr>
            <w:tcW w:w="1421" w:type="dxa"/>
            <w:vMerge w:val="restart"/>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34" w:lineRule="atLeast"/>
              <w:jc w:val="center"/>
              <w:textAlignment w:val="auto"/>
              <w:rPr>
                <w:rFonts w:hint="eastAsia" w:ascii="仿宋" w:hAnsi="仿宋" w:eastAsia="仿宋" w:cs="仿宋"/>
              </w:rPr>
            </w:pPr>
            <w:r>
              <w:rPr>
                <w:rFonts w:hint="eastAsia" w:ascii="仿宋" w:hAnsi="仿宋" w:eastAsia="仿宋" w:cs="仿宋"/>
                <w:lang w:val="en-US" w:eastAsia="zh-CN"/>
              </w:rPr>
              <w:t>总计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58" w:hRule="atLeast"/>
        </w:trPr>
        <w:tc>
          <w:tcPr>
            <w:tcW w:w="1512" w:type="dxa"/>
            <w:vMerge w:val="continue"/>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34" w:lineRule="atLeast"/>
              <w:jc w:val="left"/>
              <w:textAlignment w:val="auto"/>
              <w:rPr>
                <w:rFonts w:hint="eastAsia" w:ascii="仿宋" w:hAnsi="仿宋" w:eastAsia="仿宋" w:cs="仿宋"/>
              </w:rPr>
            </w:pPr>
          </w:p>
        </w:tc>
        <w:tc>
          <w:tcPr>
            <w:tcW w:w="2502" w:type="dxa"/>
            <w:vMerge w:val="continue"/>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34" w:lineRule="atLeast"/>
              <w:jc w:val="left"/>
              <w:textAlignment w:val="auto"/>
              <w:rPr>
                <w:rFonts w:hint="eastAsia" w:ascii="仿宋" w:hAnsi="仿宋" w:eastAsia="仿宋" w:cs="仿宋"/>
              </w:rPr>
            </w:pPr>
          </w:p>
        </w:tc>
        <w:tc>
          <w:tcPr>
            <w:tcW w:w="1440" w:type="dxa"/>
            <w:vMerge w:val="continue"/>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34" w:lineRule="atLeast"/>
              <w:jc w:val="left"/>
              <w:textAlignment w:val="auto"/>
              <w:rPr>
                <w:rFonts w:hint="eastAsia" w:ascii="仿宋" w:hAnsi="仿宋" w:eastAsia="仿宋" w:cs="仿宋"/>
              </w:rPr>
            </w:pPr>
          </w:p>
        </w:tc>
        <w:tc>
          <w:tcPr>
            <w:tcW w:w="2280" w:type="dxa"/>
            <w:vMerge w:val="continue"/>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34" w:lineRule="atLeast"/>
              <w:jc w:val="left"/>
              <w:textAlignment w:val="auto"/>
              <w:rPr>
                <w:rFonts w:hint="eastAsia" w:ascii="仿宋" w:hAnsi="仿宋" w:eastAsia="仿宋" w:cs="仿宋"/>
              </w:rPr>
            </w:pPr>
          </w:p>
        </w:tc>
        <w:tc>
          <w:tcPr>
            <w:tcW w:w="1776" w:type="dxa"/>
            <w:vMerge w:val="continue"/>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34" w:lineRule="atLeast"/>
              <w:jc w:val="left"/>
              <w:textAlignment w:val="auto"/>
              <w:rPr>
                <w:rFonts w:hint="eastAsia" w:ascii="仿宋" w:hAnsi="仿宋" w:eastAsia="仿宋" w:cs="仿宋"/>
              </w:rPr>
            </w:pPr>
          </w:p>
        </w:tc>
        <w:tc>
          <w:tcPr>
            <w:tcW w:w="110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34" w:lineRule="atLeast"/>
              <w:jc w:val="center"/>
              <w:textAlignment w:val="auto"/>
              <w:rPr>
                <w:rFonts w:hint="default" w:ascii="仿宋" w:hAnsi="仿宋" w:eastAsia="仿宋" w:cs="仿宋"/>
                <w:lang w:val="en-US"/>
              </w:rPr>
            </w:pPr>
            <w:r>
              <w:rPr>
                <w:rFonts w:hint="eastAsia" w:ascii="仿宋" w:hAnsi="仿宋" w:eastAsia="仿宋" w:cs="仿宋"/>
                <w:lang w:val="en-US" w:eastAsia="zh-CN"/>
              </w:rPr>
              <w:t>一般公共预算资金</w:t>
            </w:r>
          </w:p>
        </w:tc>
        <w:tc>
          <w:tcPr>
            <w:tcW w:w="112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34" w:lineRule="atLeast"/>
              <w:jc w:val="center"/>
              <w:textAlignment w:val="auto"/>
              <w:rPr>
                <w:rFonts w:hint="eastAsia" w:ascii="仿宋" w:hAnsi="仿宋" w:eastAsia="仿宋" w:cs="仿宋"/>
              </w:rPr>
            </w:pPr>
            <w:r>
              <w:rPr>
                <w:rFonts w:hint="eastAsia" w:ascii="仿宋" w:hAnsi="仿宋" w:eastAsia="仿宋" w:cs="仿宋"/>
                <w:lang w:val="en-US" w:eastAsia="zh-CN"/>
              </w:rPr>
              <w:t>政府性基金</w:t>
            </w:r>
          </w:p>
        </w:tc>
        <w:tc>
          <w:tcPr>
            <w:tcW w:w="947"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34" w:lineRule="atLeast"/>
              <w:jc w:val="center"/>
              <w:textAlignment w:val="auto"/>
              <w:rPr>
                <w:rFonts w:hint="eastAsia" w:ascii="仿宋" w:hAnsi="仿宋" w:eastAsia="仿宋" w:cs="仿宋"/>
              </w:rPr>
            </w:pPr>
            <w:r>
              <w:rPr>
                <w:rFonts w:hint="eastAsia" w:ascii="仿宋" w:hAnsi="仿宋" w:eastAsia="仿宋" w:cs="仿宋"/>
                <w:lang w:val="en-US" w:eastAsia="zh-CN"/>
              </w:rPr>
              <w:t>其他资金</w:t>
            </w:r>
          </w:p>
        </w:tc>
        <w:tc>
          <w:tcPr>
            <w:tcW w:w="1169"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34" w:lineRule="atLeast"/>
              <w:jc w:val="center"/>
              <w:textAlignment w:val="auto"/>
              <w:rPr>
                <w:rFonts w:hint="eastAsia" w:ascii="仿宋" w:hAnsi="仿宋" w:eastAsia="仿宋" w:cs="仿宋"/>
              </w:rPr>
            </w:pPr>
            <w:r>
              <w:rPr>
                <w:rFonts w:hint="eastAsia" w:ascii="仿宋" w:hAnsi="仿宋" w:eastAsia="仿宋" w:cs="仿宋"/>
                <w:lang w:val="en-US" w:eastAsia="zh-CN"/>
              </w:rPr>
              <w:t>上年结转和结余资金</w:t>
            </w:r>
          </w:p>
        </w:tc>
        <w:tc>
          <w:tcPr>
            <w:tcW w:w="1421" w:type="dxa"/>
            <w:vMerge w:val="continue"/>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34" w:lineRule="atLeast"/>
              <w:jc w:val="left"/>
              <w:textAlignment w:val="auto"/>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07" w:hRule="atLeast"/>
        </w:trPr>
        <w:tc>
          <w:tcPr>
            <w:tcW w:w="151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34" w:lineRule="atLeast"/>
              <w:jc w:val="center"/>
              <w:textAlignment w:val="auto"/>
              <w:rPr>
                <w:rFonts w:hint="eastAsia" w:ascii="仿宋" w:hAnsi="仿宋" w:eastAsia="仿宋" w:cs="仿宋"/>
              </w:rPr>
            </w:pPr>
            <w:r>
              <w:rPr>
                <w:rFonts w:hint="eastAsia" w:ascii="仿宋" w:hAnsi="仿宋" w:eastAsia="仿宋" w:cs="仿宋"/>
                <w:sz w:val="22"/>
                <w:szCs w:val="22"/>
              </w:rPr>
              <w:t/>
            </w:r>
            <w:r>
              <w:rPr>
                <w:rFonts w:hint="eastAsia" w:ascii="仿宋" w:hAnsi="仿宋" w:eastAsia="仿宋" w:cs="仿宋"/>
                <w:lang w:val="en-US" w:eastAsia="zh-CN"/>
              </w:rPr>
              <w:t>合计</w:t>
            </w:r>
          </w:p>
        </w:tc>
        <w:tc>
          <w:tcPr>
            <w:tcW w:w="250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34" w:lineRule="atLeast"/>
              <w:jc w:val="left"/>
              <w:textAlignment w:val="auto"/>
              <w:rPr>
                <w:rFonts w:hint="eastAsia" w:ascii="仿宋" w:hAnsi="仿宋" w:eastAsia="仿宋" w:cs="仿宋"/>
              </w:rPr>
            </w:pPr>
          </w:p>
        </w:tc>
        <w:tc>
          <w:tcPr>
            <w:tcW w:w="144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34" w:lineRule="atLeast"/>
              <w:jc w:val="left"/>
              <w:textAlignment w:val="auto"/>
              <w:rPr>
                <w:rFonts w:hint="eastAsia" w:ascii="仿宋" w:hAnsi="仿宋" w:eastAsia="仿宋" w:cs="仿宋"/>
              </w:rPr>
            </w:pPr>
          </w:p>
        </w:tc>
        <w:tc>
          <w:tcPr>
            <w:tcW w:w="22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34" w:lineRule="atLeast"/>
              <w:jc w:val="left"/>
              <w:textAlignment w:val="auto"/>
              <w:rPr>
                <w:rFonts w:hint="eastAsia" w:ascii="仿宋" w:hAnsi="仿宋" w:eastAsia="仿宋" w:cs="仿宋"/>
              </w:rPr>
            </w:pPr>
          </w:p>
        </w:tc>
        <w:tc>
          <w:tcPr>
            <w:tcW w:w="1776"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34" w:lineRule="atLeast"/>
              <w:jc w:val="left"/>
              <w:textAlignment w:val="auto"/>
              <w:rPr>
                <w:rFonts w:hint="eastAsia" w:ascii="仿宋" w:hAnsi="仿宋" w:eastAsia="仿宋" w:cs="仿宋"/>
              </w:rPr>
            </w:pPr>
          </w:p>
        </w:tc>
        <w:tc>
          <w:tcPr>
            <w:tcW w:w="110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34" w:lineRule="atLeast"/>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3.70</w:t>
            </w:r>
          </w:p>
        </w:tc>
        <w:tc>
          <w:tcPr>
            <w:tcW w:w="112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34" w:lineRule="atLeast"/>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
            </w:r>
          </w:p>
        </w:tc>
        <w:tc>
          <w:tcPr>
            <w:tcW w:w="947"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34" w:lineRule="atLeast"/>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
            </w:r>
          </w:p>
        </w:tc>
        <w:tc>
          <w:tcPr>
            <w:tcW w:w="1169"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34" w:lineRule="atLeast"/>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
            </w:r>
          </w:p>
        </w:tc>
        <w:tc>
          <w:tcPr>
            <w:tcW w:w="142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34" w:lineRule="atLeast"/>
              <w:ind w:right="57" w:rightChars="0"/>
              <w:jc w:val="right"/>
              <w:textAlignment w:val="auto"/>
              <w:rPr>
                <w:rFonts w:hint="default"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3.70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0" w:hRule="atLeast"/>
        </w:trPr>
        <w:tc>
          <w:tcPr>
            <w:tcW w:w="151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34" w:lineRule="atLeast"/>
              <w:jc w:val="lef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货物</w:t>
            </w:r>
          </w:p>
        </w:tc>
        <w:tc>
          <w:tcPr>
            <w:tcW w:w="250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34" w:lineRule="atLeast"/>
              <w:jc w:val="center"/>
              <w:textAlignment w:val="auto"/>
              <w:rPr>
                <w:rFonts w:hint="default"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
            </w:r>
          </w:p>
        </w:tc>
        <w:tc>
          <w:tcPr>
            <w:tcW w:w="144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34" w:lineRule="atLeast"/>
              <w:jc w:val="center"/>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
            </w:r>
          </w:p>
        </w:tc>
        <w:tc>
          <w:tcPr>
            <w:tcW w:w="22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34" w:lineRule="atLeast"/>
              <w:jc w:val="center"/>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
            </w:r>
          </w:p>
        </w:tc>
        <w:tc>
          <w:tcPr>
            <w:tcW w:w="1776"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34" w:lineRule="atLeast"/>
              <w:jc w:val="center"/>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
            </w:r>
          </w:p>
        </w:tc>
        <w:tc>
          <w:tcPr>
            <w:tcW w:w="110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34" w:lineRule="atLeast"/>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2.70</w:t>
            </w:r>
          </w:p>
        </w:tc>
        <w:tc>
          <w:tcPr>
            <w:tcW w:w="112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34" w:lineRule="atLeast"/>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
            </w:r>
          </w:p>
        </w:tc>
        <w:tc>
          <w:tcPr>
            <w:tcW w:w="947"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34" w:lineRule="atLeast"/>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
            </w:r>
          </w:p>
        </w:tc>
        <w:tc>
          <w:tcPr>
            <w:tcW w:w="1169"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34" w:lineRule="atLeast"/>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
            </w:r>
          </w:p>
        </w:tc>
        <w:tc>
          <w:tcPr>
            <w:tcW w:w="142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34" w:lineRule="atLeast"/>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2.70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0" w:hRule="atLeast"/>
        </w:trPr>
        <w:tc>
          <w:tcPr>
            <w:tcW w:w="151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34" w:lineRule="atLeast"/>
              <w:jc w:val="lef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无锡市滨湖区公共资源交易中心（本级）</w:t>
            </w:r>
          </w:p>
        </w:tc>
        <w:tc>
          <w:tcPr>
            <w:tcW w:w="250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34" w:lineRule="atLeast"/>
              <w:jc w:val="center"/>
              <w:textAlignment w:val="auto"/>
              <w:rPr>
                <w:rFonts w:hint="default"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
            </w:r>
          </w:p>
        </w:tc>
        <w:tc>
          <w:tcPr>
            <w:tcW w:w="144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34" w:lineRule="atLeast"/>
              <w:jc w:val="center"/>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
            </w:r>
          </w:p>
        </w:tc>
        <w:tc>
          <w:tcPr>
            <w:tcW w:w="22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34" w:lineRule="atLeast"/>
              <w:jc w:val="center"/>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
            </w:r>
          </w:p>
        </w:tc>
        <w:tc>
          <w:tcPr>
            <w:tcW w:w="1776"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34" w:lineRule="atLeast"/>
              <w:jc w:val="center"/>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
            </w:r>
          </w:p>
        </w:tc>
        <w:tc>
          <w:tcPr>
            <w:tcW w:w="110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34" w:lineRule="atLeast"/>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2.70</w:t>
            </w:r>
          </w:p>
        </w:tc>
        <w:tc>
          <w:tcPr>
            <w:tcW w:w="112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34" w:lineRule="atLeast"/>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
            </w:r>
          </w:p>
        </w:tc>
        <w:tc>
          <w:tcPr>
            <w:tcW w:w="947"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34" w:lineRule="atLeast"/>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
            </w:r>
          </w:p>
        </w:tc>
        <w:tc>
          <w:tcPr>
            <w:tcW w:w="1169"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34" w:lineRule="atLeast"/>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
            </w:r>
          </w:p>
        </w:tc>
        <w:tc>
          <w:tcPr>
            <w:tcW w:w="142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34" w:lineRule="atLeast"/>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2.70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0" w:hRule="atLeast"/>
        </w:trPr>
        <w:tc>
          <w:tcPr>
            <w:tcW w:w="151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34" w:lineRule="atLeast"/>
              <w:jc w:val="lef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
            </w:r>
          </w:p>
        </w:tc>
        <w:tc>
          <w:tcPr>
            <w:tcW w:w="250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34" w:lineRule="atLeast"/>
              <w:jc w:val="center"/>
              <w:textAlignment w:val="auto"/>
              <w:rPr>
                <w:rFonts w:hint="default"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交易中心工作经费</w:t>
            </w:r>
          </w:p>
        </w:tc>
        <w:tc>
          <w:tcPr>
            <w:tcW w:w="144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34" w:lineRule="atLeast"/>
              <w:jc w:val="center"/>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其他商品和服务支出</w:t>
            </w:r>
          </w:p>
        </w:tc>
        <w:tc>
          <w:tcPr>
            <w:tcW w:w="22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34" w:lineRule="atLeast"/>
              <w:jc w:val="center"/>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办公桌</w:t>
            </w:r>
          </w:p>
        </w:tc>
        <w:tc>
          <w:tcPr>
            <w:tcW w:w="1776"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34" w:lineRule="atLeast"/>
              <w:jc w:val="center"/>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
            </w:r>
          </w:p>
        </w:tc>
        <w:tc>
          <w:tcPr>
            <w:tcW w:w="110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34" w:lineRule="atLeast"/>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1.60</w:t>
            </w:r>
          </w:p>
        </w:tc>
        <w:tc>
          <w:tcPr>
            <w:tcW w:w="112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34" w:lineRule="atLeast"/>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
            </w:r>
          </w:p>
        </w:tc>
        <w:tc>
          <w:tcPr>
            <w:tcW w:w="947"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34" w:lineRule="atLeast"/>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
            </w:r>
          </w:p>
        </w:tc>
        <w:tc>
          <w:tcPr>
            <w:tcW w:w="1169"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34" w:lineRule="atLeast"/>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
            </w:r>
          </w:p>
        </w:tc>
        <w:tc>
          <w:tcPr>
            <w:tcW w:w="142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34" w:lineRule="atLeast"/>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1.60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0" w:hRule="atLeast"/>
        </w:trPr>
        <w:tc>
          <w:tcPr>
            <w:tcW w:w="151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34" w:lineRule="atLeast"/>
              <w:jc w:val="lef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
            </w:r>
          </w:p>
        </w:tc>
        <w:tc>
          <w:tcPr>
            <w:tcW w:w="250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34" w:lineRule="atLeast"/>
              <w:jc w:val="center"/>
              <w:textAlignment w:val="auto"/>
              <w:rPr>
                <w:rFonts w:hint="default"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交易中心工作经费</w:t>
            </w:r>
          </w:p>
        </w:tc>
        <w:tc>
          <w:tcPr>
            <w:tcW w:w="144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34" w:lineRule="atLeast"/>
              <w:jc w:val="center"/>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其他商品和服务支出</w:t>
            </w:r>
          </w:p>
        </w:tc>
        <w:tc>
          <w:tcPr>
            <w:tcW w:w="22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34" w:lineRule="atLeast"/>
              <w:jc w:val="center"/>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办公椅</w:t>
            </w:r>
          </w:p>
        </w:tc>
        <w:tc>
          <w:tcPr>
            <w:tcW w:w="1776"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34" w:lineRule="atLeast"/>
              <w:jc w:val="center"/>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
            </w:r>
          </w:p>
        </w:tc>
        <w:tc>
          <w:tcPr>
            <w:tcW w:w="110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34" w:lineRule="atLeast"/>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0.40</w:t>
            </w:r>
          </w:p>
        </w:tc>
        <w:tc>
          <w:tcPr>
            <w:tcW w:w="112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34" w:lineRule="atLeast"/>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
            </w:r>
          </w:p>
        </w:tc>
        <w:tc>
          <w:tcPr>
            <w:tcW w:w="947"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34" w:lineRule="atLeast"/>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
            </w:r>
          </w:p>
        </w:tc>
        <w:tc>
          <w:tcPr>
            <w:tcW w:w="1169"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34" w:lineRule="atLeast"/>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
            </w:r>
          </w:p>
        </w:tc>
        <w:tc>
          <w:tcPr>
            <w:tcW w:w="142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34" w:lineRule="atLeast"/>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0.40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0" w:hRule="atLeast"/>
        </w:trPr>
        <w:tc>
          <w:tcPr>
            <w:tcW w:w="151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34" w:lineRule="atLeast"/>
              <w:jc w:val="lef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
            </w:r>
          </w:p>
        </w:tc>
        <w:tc>
          <w:tcPr>
            <w:tcW w:w="250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34" w:lineRule="atLeast"/>
              <w:jc w:val="center"/>
              <w:textAlignment w:val="auto"/>
              <w:rPr>
                <w:rFonts w:hint="default"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商品和服务支出（限额）三保</w:t>
            </w:r>
          </w:p>
        </w:tc>
        <w:tc>
          <w:tcPr>
            <w:tcW w:w="144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34" w:lineRule="atLeast"/>
              <w:jc w:val="center"/>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办公费</w:t>
            </w:r>
          </w:p>
        </w:tc>
        <w:tc>
          <w:tcPr>
            <w:tcW w:w="22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34" w:lineRule="atLeast"/>
              <w:jc w:val="center"/>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复印纸</w:t>
            </w:r>
          </w:p>
        </w:tc>
        <w:tc>
          <w:tcPr>
            <w:tcW w:w="1776"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34" w:lineRule="atLeast"/>
              <w:jc w:val="center"/>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
            </w:r>
          </w:p>
        </w:tc>
        <w:tc>
          <w:tcPr>
            <w:tcW w:w="110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34" w:lineRule="atLeast"/>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0.70</w:t>
            </w:r>
          </w:p>
        </w:tc>
        <w:tc>
          <w:tcPr>
            <w:tcW w:w="112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34" w:lineRule="atLeast"/>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
            </w:r>
          </w:p>
        </w:tc>
        <w:tc>
          <w:tcPr>
            <w:tcW w:w="947"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34" w:lineRule="atLeast"/>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
            </w:r>
          </w:p>
        </w:tc>
        <w:tc>
          <w:tcPr>
            <w:tcW w:w="1169"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34" w:lineRule="atLeast"/>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
            </w:r>
          </w:p>
        </w:tc>
        <w:tc>
          <w:tcPr>
            <w:tcW w:w="142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34" w:lineRule="atLeast"/>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0.70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0" w:hRule="atLeast"/>
        </w:trPr>
        <w:tc>
          <w:tcPr>
            <w:tcW w:w="151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34" w:lineRule="atLeast"/>
              <w:jc w:val="lef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服务</w:t>
            </w:r>
          </w:p>
        </w:tc>
        <w:tc>
          <w:tcPr>
            <w:tcW w:w="250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34" w:lineRule="atLeast"/>
              <w:jc w:val="center"/>
              <w:textAlignment w:val="auto"/>
              <w:rPr>
                <w:rFonts w:hint="default"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
            </w:r>
          </w:p>
        </w:tc>
        <w:tc>
          <w:tcPr>
            <w:tcW w:w="144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34" w:lineRule="atLeast"/>
              <w:jc w:val="center"/>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
            </w:r>
          </w:p>
        </w:tc>
        <w:tc>
          <w:tcPr>
            <w:tcW w:w="22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34" w:lineRule="atLeast"/>
              <w:jc w:val="center"/>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
            </w:r>
          </w:p>
        </w:tc>
        <w:tc>
          <w:tcPr>
            <w:tcW w:w="1776"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34" w:lineRule="atLeast"/>
              <w:jc w:val="center"/>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
            </w:r>
          </w:p>
        </w:tc>
        <w:tc>
          <w:tcPr>
            <w:tcW w:w="110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34" w:lineRule="atLeast"/>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1.00</w:t>
            </w:r>
          </w:p>
        </w:tc>
        <w:tc>
          <w:tcPr>
            <w:tcW w:w="112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34" w:lineRule="atLeast"/>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
            </w:r>
          </w:p>
        </w:tc>
        <w:tc>
          <w:tcPr>
            <w:tcW w:w="947"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34" w:lineRule="atLeast"/>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
            </w:r>
          </w:p>
        </w:tc>
        <w:tc>
          <w:tcPr>
            <w:tcW w:w="1169"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34" w:lineRule="atLeast"/>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
            </w:r>
          </w:p>
        </w:tc>
        <w:tc>
          <w:tcPr>
            <w:tcW w:w="142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34" w:lineRule="atLeast"/>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0" w:hRule="atLeast"/>
        </w:trPr>
        <w:tc>
          <w:tcPr>
            <w:tcW w:w="151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34" w:lineRule="atLeast"/>
              <w:jc w:val="lef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无锡市滨湖区公共资源交易中心（本级）</w:t>
            </w:r>
          </w:p>
        </w:tc>
        <w:tc>
          <w:tcPr>
            <w:tcW w:w="250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34" w:lineRule="atLeast"/>
              <w:jc w:val="center"/>
              <w:textAlignment w:val="auto"/>
              <w:rPr>
                <w:rFonts w:hint="default"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
            </w:r>
          </w:p>
        </w:tc>
        <w:tc>
          <w:tcPr>
            <w:tcW w:w="144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34" w:lineRule="atLeast"/>
              <w:jc w:val="center"/>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
            </w:r>
          </w:p>
        </w:tc>
        <w:tc>
          <w:tcPr>
            <w:tcW w:w="22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34" w:lineRule="atLeast"/>
              <w:jc w:val="center"/>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
            </w:r>
          </w:p>
        </w:tc>
        <w:tc>
          <w:tcPr>
            <w:tcW w:w="1776"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34" w:lineRule="atLeast"/>
              <w:jc w:val="center"/>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
            </w:r>
          </w:p>
        </w:tc>
        <w:tc>
          <w:tcPr>
            <w:tcW w:w="110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34" w:lineRule="atLeast"/>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1.00</w:t>
            </w:r>
          </w:p>
        </w:tc>
        <w:tc>
          <w:tcPr>
            <w:tcW w:w="112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34" w:lineRule="atLeast"/>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
            </w:r>
          </w:p>
        </w:tc>
        <w:tc>
          <w:tcPr>
            <w:tcW w:w="947"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34" w:lineRule="atLeast"/>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
            </w:r>
          </w:p>
        </w:tc>
        <w:tc>
          <w:tcPr>
            <w:tcW w:w="1169"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34" w:lineRule="atLeast"/>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
            </w:r>
          </w:p>
        </w:tc>
        <w:tc>
          <w:tcPr>
            <w:tcW w:w="142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34" w:lineRule="atLeast"/>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0" w:hRule="atLeast"/>
        </w:trPr>
        <w:tc>
          <w:tcPr>
            <w:tcW w:w="151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34" w:lineRule="atLeast"/>
              <w:jc w:val="lef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
            </w:r>
          </w:p>
        </w:tc>
        <w:tc>
          <w:tcPr>
            <w:tcW w:w="250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34" w:lineRule="atLeast"/>
              <w:jc w:val="center"/>
              <w:textAlignment w:val="auto"/>
              <w:rPr>
                <w:rFonts w:hint="default"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商品和服务支出（限额）三保</w:t>
            </w:r>
          </w:p>
        </w:tc>
        <w:tc>
          <w:tcPr>
            <w:tcW w:w="144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34" w:lineRule="atLeast"/>
              <w:jc w:val="center"/>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办公费</w:t>
            </w:r>
          </w:p>
        </w:tc>
        <w:tc>
          <w:tcPr>
            <w:tcW w:w="22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34" w:lineRule="atLeast"/>
              <w:jc w:val="center"/>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其他印刷服务</w:t>
            </w:r>
          </w:p>
        </w:tc>
        <w:tc>
          <w:tcPr>
            <w:tcW w:w="1776"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34" w:lineRule="atLeast"/>
              <w:jc w:val="center"/>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
            </w:r>
          </w:p>
        </w:tc>
        <w:tc>
          <w:tcPr>
            <w:tcW w:w="110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34" w:lineRule="atLeast"/>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1.00</w:t>
            </w:r>
          </w:p>
        </w:tc>
        <w:tc>
          <w:tcPr>
            <w:tcW w:w="112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34" w:lineRule="atLeast"/>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
            </w:r>
          </w:p>
        </w:tc>
        <w:tc>
          <w:tcPr>
            <w:tcW w:w="947"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34" w:lineRule="atLeast"/>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
            </w:r>
          </w:p>
        </w:tc>
        <w:tc>
          <w:tcPr>
            <w:tcW w:w="1169"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34" w:lineRule="atLeast"/>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
            </w:r>
          </w:p>
        </w:tc>
        <w:tc>
          <w:tcPr>
            <w:tcW w:w="142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34" w:lineRule="atLeast"/>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1.00</w:t>
            </w:r>
          </w:p>
        </w:tc>
      </w:tr>
    </w:tbl>
    <w:p>
      <w:pPr>
        <w:bidi w:val="0"/>
        <w:rPr>
          <w:rFonts w:hint="eastAsia" w:ascii="仿宋" w:hAnsi="仿宋" w:eastAsia="仿宋" w:cs="仿宋"/>
          <w:b/>
          <w:bCs/>
          <w:sz w:val="22"/>
          <w:szCs w:val="22"/>
        </w:rPr>
        <w:sectPr>
          <w:footerReference r:id="rId19" w:type="default"/>
          <w:pgSz w:w="16838" w:h="11906" w:orient="landscape"/>
          <w:pgMar w:top="1320" w:right="771" w:bottom="1320" w:left="77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p>
      <w:pPr>
        <w:pStyle w:val="5"/>
        <w:tabs>
          <w:tab w:val="left" w:pos="3077"/>
        </w:tabs>
        <w:spacing w:line="616" w:lineRule="exact"/>
        <w:jc w:val="center"/>
        <w:rPr>
          <w:rFonts w:hint="eastAsia"/>
        </w:rPr>
      </w:pPr>
      <w:r>
        <w:rPr>
          <w:rFonts w:hint="eastAsia" w:ascii="仿宋" w:hAnsi="仿宋" w:eastAsia="仿宋" w:cs="仿宋"/>
          <w:b/>
          <w:bCs/>
          <w:sz w:val="44"/>
          <w:szCs w:val="44"/>
        </w:rPr>
        <w:t>第三部分</w:t>
      </w:r>
      <w:r>
        <w:rPr>
          <w:rFonts w:hint="eastAsia" w:ascii="仿宋" w:hAnsi="仿宋" w:eastAsia="仿宋" w:cs="仿宋"/>
          <w:b/>
          <w:bCs/>
          <w:sz w:val="44"/>
          <w:szCs w:val="44"/>
          <w:lang w:val="en-US" w:eastAsia="zh-CN"/>
        </w:rPr>
        <w:t xml:space="preserve"> </w:t>
      </w:r>
      <w:r>
        <w:rPr>
          <w:rFonts w:hint="eastAsia" w:ascii="仿宋" w:hAnsi="仿宋" w:eastAsia="仿宋" w:cs="仿宋"/>
          <w:b/>
          <w:bCs/>
          <w:sz w:val="44"/>
          <w:szCs w:val="44"/>
          <w:lang w:eastAsia="zh-CN"/>
        </w:rPr>
        <w:t>2025</w:t>
      </w:r>
      <w:r>
        <w:rPr>
          <w:rFonts w:hint="eastAsia" w:ascii="仿宋" w:hAnsi="仿宋" w:eastAsia="仿宋" w:cs="仿宋"/>
          <w:b/>
          <w:bCs/>
          <w:sz w:val="44"/>
          <w:szCs w:val="44"/>
        </w:rPr>
        <w:t>年度</w:t>
      </w:r>
      <w:r>
        <w:rPr>
          <w:rFonts w:ascii="仿宋" w:hAnsi="仿宋" w:cs="仿宋" w:eastAsia="仿宋"/>
          <w:b w:val="true"/>
          <w:sz w:val="44"/>
        </w:rPr>
        <w:t>部门</w:t>
      </w:r>
      <w:r>
        <w:rPr>
          <w:rFonts w:hint="eastAsia" w:ascii="仿宋" w:hAnsi="仿宋" w:eastAsia="仿宋" w:cs="仿宋"/>
          <w:b/>
          <w:bCs/>
          <w:sz w:val="44"/>
          <w:szCs w:val="44"/>
          <w:lang w:eastAsia="zh-CN"/>
        </w:rPr>
        <w:t>预算</w:t>
      </w:r>
      <w:r>
        <w:rPr>
          <w:rFonts w:hint="eastAsia" w:ascii="仿宋" w:hAnsi="仿宋" w:eastAsia="仿宋" w:cs="仿宋"/>
          <w:b/>
          <w:bCs/>
          <w:sz w:val="44"/>
          <w:szCs w:val="44"/>
        </w:rPr>
        <w:t>情况说明</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1" w:after="0" w:line="360" w:lineRule="auto"/>
        <w:ind w:left="348" w:right="420" w:firstLine="640"/>
        <w:jc w:val="both"/>
        <w:textAlignment w:val="auto"/>
        <w:rPr>
          <w:rFonts w:hint="eastAsia" w:ascii="仿宋" w:hAnsi="仿宋" w:eastAsia="仿宋" w:cs="仿宋"/>
          <w:lang w:val="en-US" w:eastAsia="zh-CN"/>
        </w:rPr>
      </w:pP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b w:val="true"/>
        </w:rPr>
        <w:t>一、收支预算总体情况说明</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无锡市滨湖区公共资源交易中心2025年度收入、支出预算总计886.17万元，与上年相比收、支预算总计各增加176.65万元，增长24.9%。其中：</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b w:val="true"/>
        </w:rPr>
        <w:t>（一）收入预算总计886.17万元。包括：</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1．本年收入合计886.17万元。</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（1）一般公共预算拨款收入886.17万元，与上年相比增加176.65万元，增长24.9%。主要原因是本部门人员增加，人员及公用支出增加。</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（2）政府性基金预算拨款收入0万元，与上年预算数相同。</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（3）国有资本经营预算拨款收入0万元，与上年预算数相同。</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（4）财政专户管理资金收入0万元，与上年预算数相同。</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（5）事业收入0万元，与上年预算数相同。</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（6）事业单位经营收入0万元，与上年预算数相同。</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（7）上级补助收入0万元，与上年预算数相同。</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（8）附属单位上缴收入0万元，与上年预算数相同。</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（9）其他收入0万元，与上年预算数相同。</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2．上年结转结余为0万元。与上年预算数相同。</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b w:val="true"/>
        </w:rPr>
        <w:t>（二）支出预算总计886.17万元。包括：</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1．本年支出合计886.17万元。</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（1）一般公共服务支出（类）支出441.83万元，主要用于支付人员经费及本部门开展日常工作而发生的公用经费。与上年相比增加172.98万元，增长64.34%。主要原因是本部门人员增加，人员及公用支出增加。</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（2）社会保障和就业支出（类）支出60.06万元，主要用于支付本部门在编职工基本养老保险及职业年金。与上年相比增加17.52万元，增长41.18%。主要原因是本部门人员增加，相应养老保险及职业年金费用增加。</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（3）卫生健康支出（类）支出19.68万元，主要用于支付本部门在编职工事业单位医疗费。与上年相比增加3.17万元，增长19.2%。主要原因是本部门人员增加，相应医疗保险费用增加。</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（4）资源勘探工业信息等支出（类）支出225万元，主要用于支付本部门开展专项工作而发生的经费。与上年相比减少25万元，减少10%。主要原因是大厅改造专项工作上年度已全部完成，本年度减少该项经费。</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5）住房保障支出（类）支出139.6万元，主要用于支付本部门在编职工住房公积金、新职工购房补贴及提租补贴。与上年相比增加7.98万元，增长6.06%。主要原因是本部门人员增加，相应住房公积金、新职工购房补贴及提租补贴费用增加。</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2．年终结转结余为0万元。</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b w:val="true"/>
        </w:rPr>
        <w:t>二、收入预算情况说明</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无锡市滨湖区公共资源交易中心2025年收入预算合计886.17万元，包括本年收入886.17万元，上年结转结余0万元。</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其中：</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本年一般公共预算收入886.17万元，占100%；</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本年政府性基金预算收入0万元，占0%；</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本年国有资本经营预算收入0万元，占0%；</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本年财政专户管理资金0万元，占0%；</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本年事业收入0万元，占0%；</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本年事业单位经营收入0万元，占0%；</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本年上级补助收入0万元，占0%；</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本年附属单位上缴收入0万元，占0%；</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本年其他收入0万元，占0%；</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上年结转结余的一般公共预算收入0万元，占0%；</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上年结转结余的政府性基金预算收入0万元，占0%；</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上年结转结余的国有资本经营预算收入0万元，占0%；</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上年结转结余的财政专户管理资金0万元，占0%；</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上年结转结余的单位资金0万元，占0%。</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3" w:leftChars="0" w:right="420" w:firstLine="3" w:firstLineChars="0"/>
        <w:jc w:val="center"/>
        <w:textAlignment w:val="auto"/>
        <w:rPr>
          <w:rFonts w:hint="eastAsia" w:ascii="仿宋" w:hAnsi="仿宋" w:eastAsia="仿宋" w:cs="仿宋"/>
          <w:lang w:val="en-US" w:eastAsia="zh-CN"/>
        </w:rPr>
      </w:pPr>
      <w:r>
        <w:rPr>
          <w:rFonts w:hint="eastAsia" w:ascii="仿宋" w:hAnsi="仿宋" w:eastAsia="仿宋" w:cs="仿宋"/>
          <w:lang w:val="en-US" w:eastAsia="zh-CN"/>
        </w:rPr>
        <w:t/>
        <w:drawing>
          <wp:inline distT="0" distR="0" distB="0" distL="0">
            <wp:extent cx="6134100" cy="3429000"/>
            <wp:docPr id="1" name="Drawing 1" descr="Generated"/>
            <a:graphic xmlns:a="http://schemas.openxmlformats.org/drawingml/2006/main">
              <a:graphicData uri="http://schemas.openxmlformats.org/drawingml/2006/picture">
                <pic:pic xmlns:pic="http://schemas.openxmlformats.org/drawingml/2006/picture">
                  <pic:nvPicPr>
                    <pic:cNvPr id="0" name="Picture 1" descr="Generated"/>
                    <pic:cNvPicPr>
                      <a:picLocks noChangeAspect="true"/>
                    </pic:cNvPicPr>
                  </pic:nvPicPr>
                  <pic:blipFill>
                    <a:blip r:embed="rId24"/>
                    <a:stretch>
                      <a:fillRect/>
                    </a:stretch>
                  </pic:blipFill>
                  <pic:spPr>
                    <a:xfrm>
                      <a:off x="0" y="0"/>
                      <a:ext cx="6134100" cy="3429000"/>
                    </a:xfrm>
                    <a:prstGeom prst="rect">
                      <a:avLst/>
                    </a:prstGeom>
                  </pic:spPr>
                </pic:pic>
              </a:graphicData>
            </a:graphic>
          </wp:inline>
        </w:drawing>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b w:val="true"/>
        </w:rPr>
        <w:t>三、支出预算情况说明</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无锡市滨湖区公共资源交易中心2025年支出预算合计886.17万元，其中：</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基本支出661.17万元，占74.61%；</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项目支出225万元，占25.39%；</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事业单位经营支出0万元，占0%；</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上缴上级支出0万元，占0%；</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对附属单位补助支出0万元，占0%。</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3" w:leftChars="0" w:right="420" w:firstLine="3" w:firstLineChars="0"/>
        <w:jc w:val="center"/>
        <w:textAlignment w:val="auto"/>
        <w:rPr>
          <w:rFonts w:hint="eastAsia" w:ascii="仿宋" w:hAnsi="仿宋" w:eastAsia="仿宋" w:cs="仿宋"/>
          <w:lang w:val="en-US" w:eastAsia="zh-CN"/>
        </w:rPr>
      </w:pPr>
      <w:r>
        <w:rPr>
          <w:rFonts w:hint="eastAsia" w:ascii="仿宋" w:hAnsi="仿宋" w:eastAsia="仿宋" w:cs="仿宋"/>
          <w:lang w:val="en-US" w:eastAsia="zh-CN"/>
        </w:rPr>
        <w:t/>
        <w:drawing>
          <wp:inline distT="0" distR="0" distB="0" distL="0">
            <wp:extent cx="6134100" cy="3429000"/>
            <wp:docPr id="2" name="Drawing 2" descr="Generated"/>
            <a:graphic xmlns:a="http://schemas.openxmlformats.org/drawingml/2006/main">
              <a:graphicData uri="http://schemas.openxmlformats.org/drawingml/2006/picture">
                <pic:pic xmlns:pic="http://schemas.openxmlformats.org/drawingml/2006/picture">
                  <pic:nvPicPr>
                    <pic:cNvPr id="0" name="Picture 2" descr="Generated"/>
                    <pic:cNvPicPr>
                      <a:picLocks noChangeAspect="true"/>
                    </pic:cNvPicPr>
                  </pic:nvPicPr>
                  <pic:blipFill>
                    <a:blip r:embed="rId25"/>
                    <a:stretch>
                      <a:fillRect/>
                    </a:stretch>
                  </pic:blipFill>
                  <pic:spPr>
                    <a:xfrm>
                      <a:off x="0" y="0"/>
                      <a:ext cx="6134100" cy="3429000"/>
                    </a:xfrm>
                    <a:prstGeom prst="rect">
                      <a:avLst/>
                    </a:prstGeom>
                  </pic:spPr>
                </pic:pic>
              </a:graphicData>
            </a:graphic>
          </wp:inline>
        </w:drawing>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b w:val="true"/>
        </w:rPr>
        <w:t>四、财政拨款收支预算总体情况说明</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无锡市滨湖区公共资源交易中心2025年度财政拨款收、支总预算886.17万元。与上年相比，财政拨款收、支总计各增加176.65万元，增长24.9%。主要原因是本部门人员增加，人员及公用支出增加。</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b w:val="true"/>
        </w:rPr>
        <w:t>五、财政拨款支出预算情况说明</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无锡市滨湖区公共资源交易中心2025年财政拨款预算支出886.17万元，占本年支出合计的100%。与上年相比，财政拨款支出增加176.65万元，增长24.9%。主要原因是本部门人员增加，人员及公用支出增加。</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其中：</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（一）一般公共服务支出（类）</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1.政府办公厅（室）及相关机构事务（款）事业运行（项）支出397.83万元，与上年相比增加172.98万元，增长76.93%。主要原因是本部门人员增加，人员及公用支出增加。</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2.政府办公厅（室）及相关机构事务（款）其他政府办公厅（室）及相关机构事务支出（项）支出44万元，与上年预算数相同。</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（二）社会保障和就业支出（类）</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1.行政事业单位养老支出（款）机关事业单位基本养老保险缴费支出（项）支出40.04万元，与上年相比增加11.68万元，增长41.18%。主要原因是本部门人员增加，相应养老保险费用增加。</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2.行政事业单位养老支出（款）机关事业单位职业年金缴费支出（项）支出20.02万元，与上年相比增加5.84万元，增长41.18%。主要原因是本部门人员增加，相应职业年金费用增加。</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（三）卫生健康支出（类）</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行政事业单位医疗（款）事业单位医疗（项）支出19.68万元，与上年相比增加3.17万元，增长19.2%。主要原因是本部门人员增加，相应医疗保险费用增加。</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（四）资源勘探工业信息等支出（类）</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国有资产监管（款）其他国有资产监管支出（项）支出225万元，与上年相比减少25万元，减少10%。主要原因是大厅改造专项工作上年度已全部完成，本年度减少该项经费。</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（五）住房保障支出（类）</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1.住房改革支出（款）住房公积金（项）支出44.09万元，与上年相比增加2.52万元，增长6.06%。主要原因是本部门人员增加，相应住房公积金费用增加。</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2.住房改革支出（款）提租补贴（项）支出27.95万元，与上年相比增加6.19万元，增长28.45%。主要原因是本部门人员增加，相应提租补贴费用增加。</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3.住房改革支出（款）购房补贴（项）支出67.56万元，与上年相比减少0.73万元，减少1.07%。主要原因是本部门人员增加，相应新职工购房补贴费用增加。</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b w:val="true"/>
        </w:rPr>
        <w:t>六、财政拨款基本支出预算情况说明</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无锡市滨湖区公共资源交易中心2025年度财政拨款基本支出预算661.17万元，其中：</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一）人员经费622.55万元。主要包括：基本工资、津贴补贴、奖金、绩效工资、机关事业单位基本养老保险缴费、职业年金缴费、职工基本医疗保险缴费、其他社会保障缴费、住房公积金、其他工资福利支出、奖励金、其他对个人和家庭的补助。</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（二）公用经费38.62万元。主要包括：办公费、公务接待费、工会经费、福利费、其他交通费用、其他商品和服务支出。</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b w:val="true"/>
        </w:rPr>
        <w:t>七、一般公共预算支出预算情况说明</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无锡市滨湖区公共资源交易中心2025年一般公共预算财政拨款支出预算886.17万元，与上年相比增加176.65万元，增长24.9%。主要原因是本部门人员增加，人员及公用支出增加。</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b w:val="true"/>
        </w:rPr>
        <w:t>八、一般公共预算基本支出预算情况说明</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无锡市滨湖区公共资源交易中心2025年度一般公共预算财政拨款基本支出预算661.17万元，其中：</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一）人员经费622.55万元。主要包括：基本工资、津贴补贴、奖金、绩效工资、机关事业单位基本养老保险缴费、职业年金缴费、职工基本医疗保险缴费、其他社会保障缴费、住房公积金、其他工资福利支出、奖励金、其他对个人和家庭的补助。</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（二）公用经费38.62万元。主要包括：办公费、公务接待费、工会经费、福利费、其他交通费用、其他商品和服务支出。</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b w:val="true"/>
        </w:rPr>
        <w:t>九、一般公共预算“三公”经费、会议费、培训费支出预算情况说明</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无锡市滨湖区公共资源交易中心2025年度一般公共预算拨款安排的“三公”经费支出预算0.5万元，比上年预算减少1万元，变动原因公务接待批次减少。其中，因公出国（境）费支出0万元，占“三公”经费的0%；公务用车购置及运行维护费支出0万元，占“三公”经费的0%；公务接待费支出0.5万元，占“三公”经费的100%。具体情况如下：</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1．因公出国（境）费预算支出0万元，与上年预算数相同。</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2．公务用车购置及运行维护费预算支出0万元。其中：</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（1）公务用车购置预算支出0万元，与上年预算数相同。</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（2）公务用车运行维护费预算支出0万元，与上年预算数相同。</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3．公务接待费预算支出0.5万元，比上年预算减少1万元，主要原因是公务接待批次减少。</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无锡市滨湖区公共资源交易中心2025年度一般公共预算拨款安排的会议费预算支出0万元，比上年预算减少1万元，主要原因是会议安排减少。</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无锡市滨湖区公共资源交易中心2025年度一般公共预算拨款安排的培训费预算支出7万元，与上年预算数相同。</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b w:val="true"/>
        </w:rPr>
        <w:t>十、政府性基金预算支出预算情况说明</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无锡市滨湖区公共资源交易中心2025年政府性基金支出预算支出0万元。与上年预算数相同。</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b w:val="true"/>
        </w:rPr>
        <w:t>十一、国有资本经营预算支出预算情况说明</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无锡市滨湖区公共资源交易中心2025年国有资本经营预算支出0万元。与上年预算数相同。</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b w:val="true"/>
        </w:rPr>
        <w:t>十二、一般公共预算机关运行经费支出预算情况说明</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2025年本部门一般公共预算机关运行经费预算支出0万元，与上年预算数相同。</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b w:val="true"/>
        </w:rPr>
        <w:t>十三、政府采购支出预算情况说明</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2025年度政府采购支出预算总额3.7万元，其中：拟采购货物支出2.7万元、拟采购工程支出0万元、拟采购服务支出1万元。</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b w:val="true"/>
        </w:rPr>
        <w:t>十四、国有资产占用情况说明</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本部门共有车辆0辆，其中，副部（省）级及以上领导用车0辆、主要领导干部用车0辆、机要通信用车0辆、应急保障用车0辆、执法执勤用车0辆、特种专业技术用车0辆、离退休干部用车0辆，其他用车0辆；单价100万元（含）以上的设备0台（套）。</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b w:val="true"/>
        </w:rPr>
        <w:t>十五、预算绩效目标设置情况说明</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2025年度，本部门整体支出纳入绩效目标管理，涉及财政性资金886.17万元；本部门共1个项目纳入绩效目标管理，涉及财政性资金合计225万元，占财政性资金(人员类和运转类中的公用经费项目支出除外)总额的比例为100%。</w:t>
      </w:r>
      <w:r>
        <w:rPr>
          <w:rFonts w:ascii="仿宋" w:hAnsi="仿宋" w:cs="仿宋" w:eastAsia="仿宋"/>
        </w:rPr>
        <w:t/>
      </w:r>
    </w:p>
    <w:p>
      <w:pPr>
        <w:pStyle w:val="8"/>
        <w:tabs>
          <w:tab w:val="left" w:pos="3864"/>
          <w:tab w:val="left" w:pos="6248"/>
          <w:tab w:val="left" w:pos="7386"/>
        </w:tabs>
        <w:spacing w:before="0" w:after="0" w:line="240" w:lineRule="auto"/>
        <w:ind w:left="0" w:right="0" w:firstLine="0"/>
        <w:jc w:val="center"/>
        <w:rPr>
          <w:rFonts w:hint="eastAsia" w:ascii="仿宋" w:hAnsi="仿宋" w:eastAsia="仿宋" w:cs="仿宋"/>
          <w:b/>
          <w:bCs/>
          <w:sz w:val="36"/>
          <w:szCs w:val="36"/>
        </w:rPr>
      </w:pPr>
      <w:r>
        <w:rPr>
          <w:rFonts w:hint="eastAsia" w:ascii="仿宋" w:hAnsi="仿宋" w:eastAsia="仿宋" w:cs="仿宋"/>
          <w:b/>
          <w:bCs/>
          <w:sz w:val="36"/>
          <w:szCs w:val="36"/>
        </w:rPr>
        <w:t>第四部分 名词解释</w:t>
      </w:r>
    </w:p>
    <w:p>
      <w:pPr>
        <w:pStyle w:val="8"/>
        <w:tabs>
          <w:tab w:val="left" w:pos="3864"/>
          <w:tab w:val="left" w:pos="6248"/>
          <w:tab w:val="left" w:pos="7386"/>
        </w:tabs>
        <w:spacing w:before="0" w:after="0" w:line="240" w:lineRule="auto"/>
        <w:ind w:left="440" w:leftChars="200" w:right="0" w:firstLine="659" w:firstLineChars="206"/>
        <w:jc w:val="both"/>
        <w:rPr>
          <w:rFonts w:hint="eastAsia" w:ascii="仿宋" w:hAnsi="仿宋" w:eastAsia="仿宋" w:cs="仿宋"/>
        </w:rPr>
      </w:pP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一、财政拨款</w:t>
      </w:r>
      <w:r>
        <w:rPr>
          <w:rFonts w:ascii="仿宋" w:hAnsi="仿宋" w:cs="仿宋" w:eastAsia="仿宋"/>
          <w:b w:val="true"/>
        </w:rPr>
        <w:t>：</w:t>
      </w:r>
      <w:r>
        <w:rPr>
          <w:rFonts w:hint="eastAsia" w:ascii="仿宋" w:hAnsi="仿宋" w:eastAsia="仿宋" w:cs="仿宋"/>
        </w:rPr>
        <w:t>单位从同级财政部门取得的各类财政拨款，包括一般公共预算拨款、政府性基金预算拨款、国有资本经营预算拨款。</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二、财政专户管理资金</w:t>
      </w:r>
      <w:r>
        <w:rPr>
          <w:rFonts w:ascii="仿宋" w:hAnsi="仿宋" w:cs="仿宋" w:eastAsia="仿宋"/>
          <w:b w:val="true"/>
        </w:rPr>
        <w:t>：</w:t>
      </w:r>
      <w:r>
        <w:rPr>
          <w:rFonts w:hint="eastAsia" w:ascii="仿宋" w:hAnsi="仿宋" w:eastAsia="仿宋" w:cs="仿宋"/>
        </w:rPr>
        <w:t>缴入财政专户、实行专项管理的高中以上学费、住宿费、高校委托培养费、函大、电大、夜大及短训班培训费等教育收费。</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三、单位资金</w:t>
      </w:r>
      <w:r>
        <w:rPr>
          <w:rFonts w:ascii="仿宋" w:hAnsi="仿宋" w:cs="仿宋" w:eastAsia="仿宋"/>
          <w:b w:val="true"/>
        </w:rPr>
        <w:t>：</w:t>
      </w:r>
      <w:r>
        <w:rPr>
          <w:rFonts w:hint="eastAsia" w:ascii="仿宋" w:hAnsi="仿宋" w:eastAsia="仿宋" w:cs="仿宋"/>
        </w:rPr>
        <w:t>除财政拨款收入和财政专户管理资金以外的收入，包括事业收入（不含教育收费）、上级补助收入、附属单位上缴收入、事业单位经营收入及其他收入（包含债务收入、投资收益等）。</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四、基本支出</w:t>
      </w:r>
      <w:r>
        <w:rPr>
          <w:rFonts w:ascii="仿宋" w:hAnsi="仿宋" w:cs="仿宋" w:eastAsia="仿宋"/>
          <w:b w:val="true"/>
        </w:rPr>
        <w:t>：</w:t>
      </w:r>
      <w:r>
        <w:rPr>
          <w:rFonts w:hint="eastAsia" w:ascii="仿宋" w:hAnsi="仿宋" w:eastAsia="仿宋" w:cs="仿宋"/>
        </w:rPr>
        <w:t>指为保障机构正常运转、完成工作任务而发生的人员支出和公用支出。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五、项目支出</w:t>
      </w:r>
      <w:r>
        <w:rPr>
          <w:rFonts w:ascii="仿宋" w:hAnsi="仿宋" w:cs="仿宋" w:eastAsia="仿宋"/>
          <w:b w:val="true"/>
        </w:rPr>
        <w:t>：</w:t>
      </w:r>
      <w:r>
        <w:rPr>
          <w:rFonts w:hint="eastAsia" w:ascii="仿宋" w:hAnsi="仿宋" w:eastAsia="仿宋" w:cs="仿宋"/>
        </w:rPr>
        <w:t>指在基本支出之外为完成特定工作任务和事业发展目标所发生的支出。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六、“三公”经费</w:t>
      </w:r>
      <w:r>
        <w:rPr>
          <w:rFonts w:ascii="仿宋" w:hAnsi="仿宋" w:cs="仿宋" w:eastAsia="仿宋"/>
          <w:b w:val="true"/>
        </w:rPr>
        <w:t>：</w:t>
      </w:r>
      <w:r>
        <w:rPr>
          <w:rFonts w:hint="eastAsia" w:ascii="仿宋" w:hAnsi="仿宋" w:eastAsia="仿宋" w:cs="仿宋"/>
        </w:rPr>
        <w:t>指部门用一般公共预算财政拨款安排的因公出国（境）费、公务用车购置及运行维护费和公务接待费。其中，因公出国（境）费反映单位公务出国（境）的住宿费、旅费、伙食补助费、杂费、培训费等支出；公务用车购置及运行维护费反映单位公务用车购置费、燃料费、维修费、过路过桥费、保险费、安全奖励费用等支出；公务接待费反映单位按规定开支的各类公务接待（含外宾接待）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七、机关运行经费</w:t>
      </w:r>
      <w:r>
        <w:rPr>
          <w:rFonts w:ascii="仿宋" w:hAnsi="仿宋" w:cs="仿宋" w:eastAsia="仿宋"/>
          <w:b w:val="true"/>
        </w:rPr>
        <w:t>：</w:t>
      </w:r>
      <w:r>
        <w:rPr>
          <w:rFonts w:hint="eastAsia" w:ascii="仿宋" w:hAnsi="仿宋" w:eastAsia="仿宋" w:cs="仿宋"/>
        </w:rPr>
        <w:t>指行政单位（含参照公务员法管理的事业单位）使用一般公共预算安排的基本支出中的日常公用经费支出，包括办公及印刷费、邮电费、差旅费、会议费、福利费、日常维修费、专用材料及一般设备购置费、办公用房水电费、办公用房取暖费、办公用房物业管理费、公务用车运行维护费及其他费用等。</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八、一般公共服务支出(类)政府办公厅（室）及相关机构事务(款)事业运行(项)</w:t>
      </w:r>
      <w:r>
        <w:rPr>
          <w:rFonts w:ascii="仿宋" w:hAnsi="仿宋" w:cs="仿宋" w:eastAsia="仿宋"/>
          <w:b w:val="true"/>
        </w:rPr>
        <w:t>：</w:t>
      </w:r>
      <w:r>
        <w:rPr>
          <w:rFonts w:hint="eastAsia" w:ascii="仿宋" w:hAnsi="仿宋" w:eastAsia="仿宋" w:cs="仿宋"/>
        </w:rPr>
        <w:t>反映事业单位的基本支出，不包括行政单位（包括实行公务员管理的事业单位）后勤服务中心、医务室等附属事业单位。</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九、一般公共服务支出(类)政府办公厅（室）及相关机构事务(款)其他政府办公厅（室）及相关机构事务支出(项)</w:t>
      </w:r>
      <w:r>
        <w:rPr>
          <w:rFonts w:ascii="仿宋" w:hAnsi="仿宋" w:cs="仿宋" w:eastAsia="仿宋"/>
          <w:b w:val="true"/>
        </w:rPr>
        <w:t>：</w:t>
      </w:r>
      <w:r>
        <w:rPr>
          <w:rFonts w:hint="eastAsia" w:ascii="仿宋" w:hAnsi="仿宋" w:eastAsia="仿宋" w:cs="仿宋"/>
        </w:rPr>
        <w:t>反映除上述项目以外的其他政府办公厅（室）及相关机构事务支出。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十、社会保障和就业支出(类)行政事业单位养老支出(款)机关事业单位基本养老保险缴费支出(项)</w:t>
      </w:r>
      <w:r>
        <w:rPr>
          <w:rFonts w:ascii="仿宋" w:hAnsi="仿宋" w:cs="仿宋" w:eastAsia="仿宋"/>
          <w:b w:val="true"/>
        </w:rPr>
        <w:t>：</w:t>
      </w:r>
      <w:r>
        <w:rPr>
          <w:rFonts w:hint="eastAsia" w:ascii="仿宋" w:hAnsi="仿宋" w:eastAsia="仿宋" w:cs="仿宋"/>
        </w:rPr>
        <w:t>反映机关事业单位实施养老保险制度由单位缴纳的基本养老保险费支出。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十一、社会保障和就业支出(类)行政事业单位养老支出(款)机关事业单位职业年金缴费支出(项)</w:t>
      </w:r>
      <w:r>
        <w:rPr>
          <w:rFonts w:ascii="仿宋" w:hAnsi="仿宋" w:cs="仿宋" w:eastAsia="仿宋"/>
          <w:b w:val="true"/>
        </w:rPr>
        <w:t>：</w:t>
      </w:r>
      <w:r>
        <w:rPr>
          <w:rFonts w:hint="eastAsia" w:ascii="仿宋" w:hAnsi="仿宋" w:eastAsia="仿宋" w:cs="仿宋"/>
        </w:rPr>
        <w:t>反映机关事业单位实施养老保险制度由单位实际缴纳的职业年金支出。(含职业年金补记支出。）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十二、卫生健康支出(类)行政事业单位医疗(款)事业单位医疗(项)</w:t>
      </w:r>
      <w:r>
        <w:rPr>
          <w:rFonts w:ascii="仿宋" w:hAnsi="仿宋" w:cs="仿宋" w:eastAsia="仿宋"/>
          <w:b w:val="true"/>
        </w:rPr>
        <w:t>：</w:t>
      </w:r>
      <w:r>
        <w:rPr>
          <w:rFonts w:hint="eastAsia" w:ascii="仿宋" w:hAnsi="仿宋" w:eastAsia="仿宋" w:cs="仿宋"/>
        </w:rPr>
        <w:t>反映财政部门安排的事业单位基本医疗保险缴费经费，未参加医疗保险的事业单位的公费医疗经费，按国家规定享受离休人员待遇的医疗经费。</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十三、资源勘探工业信息等支出(类)国有资产监管(款)其他国有资产监管支出(项)</w:t>
      </w:r>
      <w:r>
        <w:rPr>
          <w:rFonts w:ascii="仿宋" w:hAnsi="仿宋" w:cs="仿宋" w:eastAsia="仿宋"/>
          <w:b w:val="true"/>
        </w:rPr>
        <w:t>：</w:t>
      </w:r>
      <w:r>
        <w:rPr>
          <w:rFonts w:hint="eastAsia" w:ascii="仿宋" w:hAnsi="仿宋" w:eastAsia="仿宋" w:cs="仿宋"/>
        </w:rPr>
        <w:t>反映除上述项目以外其他用于国有资产监管方面的支出。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十四、住房保障支出(类)住房改革支出(款)住房公积金(项)</w:t>
      </w:r>
      <w:r>
        <w:rPr>
          <w:rFonts w:ascii="仿宋" w:hAnsi="仿宋" w:cs="仿宋" w:eastAsia="仿宋"/>
          <w:b w:val="true"/>
        </w:rPr>
        <w:t>：</w:t>
      </w:r>
      <w:r>
        <w:rPr>
          <w:rFonts w:hint="eastAsia" w:ascii="仿宋" w:hAnsi="仿宋" w:eastAsia="仿宋" w:cs="仿宋"/>
        </w:rPr>
        <w:t>反映行政事业单位按人力资源和社会保障部、财政部规定的基本工资和津贴补贴以及规定比例为职工缴纳的住房公积金。</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十五、住房保障支出(类)住房改革支出(款)提租补贴(项)</w:t>
      </w:r>
      <w:r>
        <w:rPr>
          <w:rFonts w:ascii="仿宋" w:hAnsi="仿宋" w:cs="仿宋" w:eastAsia="仿宋"/>
          <w:b w:val="true"/>
        </w:rPr>
        <w:t>：</w:t>
      </w:r>
      <w:r>
        <w:rPr>
          <w:rFonts w:hint="eastAsia" w:ascii="仿宋" w:hAnsi="仿宋" w:eastAsia="仿宋" w:cs="仿宋"/>
        </w:rPr>
        <w:t>反映按房改政策规定的标准，行政事业单位向职工（含离退休人员）发放的租金补贴。</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十六、住房保障支出(类)住房改革支出(款)购房补贴(项)</w:t>
      </w:r>
      <w:r>
        <w:rPr>
          <w:rFonts w:ascii="仿宋" w:hAnsi="仿宋" w:cs="仿宋" w:eastAsia="仿宋"/>
          <w:b w:val="true"/>
        </w:rPr>
        <w:t>：</w:t>
      </w:r>
      <w:r>
        <w:rPr>
          <w:rFonts w:hint="eastAsia" w:ascii="仿宋" w:hAnsi="仿宋" w:eastAsia="仿宋" w:cs="仿宋"/>
        </w:rPr>
        <w:t>反映按房改政策规定，行政事业单位向符合条件职工（含离退休人员）、军队(含武警)向转役复员离退休人员发放的用于购买住房的补贴。</w:t>
      </w:r>
    </w:p>
    <w:sectPr>
      <w:pgSz w:w="11906" w:h="16838"/>
      <w:pgMar w:top="1580" w:right="820" w:bottom="770" w:left="822" w:header="170" w:footer="280" w:gutter="0"/>
      <w:pgBorders>
        <w:top w:val="none" w:sz="0" w:space="0"/>
        <w:left w:val="none" w:sz="0" w:space="0"/>
        <w:bottom w:val="none" w:sz="0" w:space="0"/>
        <w:right w:val="none" w:sz="0" w:space="0"/>
      </w:pgBorders>
      <w:pgNumType w:fmt="numberInDash"/>
      <w:cols w:space="720" w:num="1"/>
      <w:formProt w:val="0"/>
      <w:docGrid w:linePitch="10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Unicode MS">
    <w:altName w:val="宋体"/>
    <w:panose1 w:val="020B0604020202020204"/>
    <w:charset w:val="86"/>
    <w:family w:val="roman"/>
    <w:pitch w:val="default"/>
    <w:sig w:usb0="00000000" w:usb1="00000000" w:usb2="0000003F" w:usb3="00000000" w:csb0="603F01FF" w:csb1="FFFF0000"/>
  </w:font>
  <w:font w:name="Liberation Sans">
    <w:panose1 w:val="020B0604020202020204"/>
    <w:charset w:val="86"/>
    <w:family w:val="roman"/>
    <w:pitch w:val="default"/>
    <w:sig w:usb0="E0000AFF" w:usb1="500078FF" w:usb2="00000021" w:usb3="00000000" w:csb0="600001BF" w:csb1="DFF70000"/>
  </w:font>
  <w:font w:name="Liberation Mono">
    <w:panose1 w:val="02070409020205020404"/>
    <w:charset w:val="86"/>
    <w:family w:val="roman"/>
    <w:pitch w:val="default"/>
    <w:sig w:usb0="E0000AFF" w:usb1="400078FF" w:usb2="00000001" w:usb3="00000000" w:csb0="600001BF" w:csb1="DFF70000"/>
  </w:font>
  <w:font w:name="新宋体">
    <w:panose1 w:val="02010609030101010101"/>
    <w:charset w:val="86"/>
    <w:family w:val="auto"/>
    <w:pitch w:val="default"/>
    <w:sig w:usb0="00000203" w:usb1="288F0000" w:usb2="00000006" w:usb3="00000000" w:csb0="00040001" w:csb1="00000000"/>
  </w:font>
  <w:font w:name="仿宋">
    <w:panose1 w:val="02010609060101010101"/>
    <w:charset w:val="86"/>
    <w:family w:val="auto"/>
    <w:pitch w:val="default"/>
    <w:sig w:usb0="800002BF" w:usb1="38CF7CFA" w:usb2="00000016" w:usb3="00000000" w:csb0="00040001" w:csb1="00000000"/>
  </w:font>
  <w:font w:name="华文仿宋">
    <w:panose1 w:val="02010600040101010101"/>
    <w:charset w:val="86"/>
    <w:family w:val="roman"/>
    <w:pitch w:val="default"/>
    <w:sig w:usb0="00000287" w:usb1="080F0000" w:usb2="00000000" w:usb3="00000000" w:csb0="0004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rPr>
        <w:rFonts w:hint="eastAsia" w:ascii="黑体" w:hAnsi="黑体" w:eastAsia="黑体" w:cs="黑体"/>
      </w:rPr>
    </w:pPr>
    <w:r>
      <w:rPr>
        <w:rFonts w:hint="eastAsia" w:ascii="黑体" w:hAnsi="黑体" w:eastAsia="黑体" w:cs="黑体"/>
        <w:sz w:val="18"/>
      </w:rPr>
      <w:pict>
        <v:shape id="_x0000_s4097" o:spid="_x0000_s4097"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v:textbox>
        </v:shape>
      </w:pic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w:pict>
        <v:shape id="_x0000_s4104" o:spid="_x0000_s4104" o:spt="202" type="#_x0000_t202" style="position:absolute;left:0pt;margin-top:0pt;height:144pt;width:144pt;mso-position-horizontal:center;mso-position-horizontal-relative:margin;mso-wrap-style:none;z-index:251666432;mso-width-relative:page;mso-height-relative:page;" filled="f" stroked="f" coordsize="21600,21600">
          <v:path/>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11</w:t>
                </w:r>
                <w:r>
                  <w:rPr>
                    <w:rFonts w:hint="eastAsia"/>
                    <w:lang w:eastAsia="zh-CN"/>
                  </w:rPr>
                  <w:fldChar w:fldCharType="end"/>
                </w:r>
              </w:p>
            </w:txbxContent>
          </v:textbox>
        </v:shape>
      </w:pic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w:pict>
        <v:shape id="_x0000_s4105" o:spid="_x0000_s4105" o:spt="202" type="#_x0000_t202" style="position:absolute;left:0pt;margin-top:0pt;height:144pt;width:144pt;mso-position-horizontal:center;mso-position-horizontal-relative:margin;mso-wrap-style:none;z-index:251667456;mso-width-relative:page;mso-height-relative:page;" filled="f" stroked="f" coordsize="21600,21600">
          <v:path/>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12</w:t>
                </w:r>
                <w:r>
                  <w:rPr>
                    <w:rFonts w:hint="eastAsia"/>
                    <w:lang w:eastAsia="zh-CN"/>
                  </w:rPr>
                  <w:fldChar w:fldCharType="end"/>
                </w:r>
              </w:p>
            </w:txbxContent>
          </v:textbox>
        </v:shape>
      </w:pic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w:pict>
        <v:shape id="_x0000_s4106" o:spid="_x0000_s4106" o:spt="202" type="#_x0000_t202" style="position:absolute;left:0pt;margin-top:0pt;height:144pt;width:144pt;mso-position-horizontal:center;mso-position-horizontal-relative:margin;mso-wrap-style:none;z-index:251668480;mso-width-relative:page;mso-height-relative:page;" filled="f" stroked="f" coordsize="21600,21600">
          <v:path/>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13</w:t>
                </w:r>
                <w:r>
                  <w:rPr>
                    <w:rFonts w:hint="eastAsia"/>
                    <w:lang w:eastAsia="zh-CN"/>
                  </w:rPr>
                  <w:fldChar w:fldCharType="end"/>
                </w:r>
              </w:p>
            </w:txbxContent>
          </v:textbox>
        </v:shape>
      </w:pic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w:pict>
        <v:shape id="_x0000_s4107" o:spid="_x0000_s4107" o:spt="202" type="#_x0000_t202" style="position:absolute;left:0pt;margin-top:0pt;height:144pt;width:144pt;mso-position-horizontal:center;mso-position-horizontal-relative:margin;mso-wrap-style:none;z-index:251669504;mso-width-relative:page;mso-height-relative:page;" filled="f" stroked="f" coordsize="21600,21600">
          <v:path/>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14</w:t>
                </w:r>
                <w:r>
                  <w:rPr>
                    <w:rFonts w:hint="eastAsia"/>
                    <w:lang w:eastAsia="zh-CN"/>
                  </w:rPr>
                  <w:fldChar w:fldCharType="end"/>
                </w:r>
              </w:p>
            </w:txbxContent>
          </v:textbox>
        </v:shape>
      </w:pic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w:pict>
        <v:shape id="_x0000_s4108" o:spid="_x0000_s4108" o:spt="202" type="#_x0000_t202" style="position:absolute;left:0pt;margin-top:0pt;height:144pt;width:144pt;mso-position-horizontal:center;mso-position-horizontal-relative:margin;mso-wrap-style:none;z-index:251670528;mso-width-relative:page;mso-height-relative:page;" filled="f" stroked="f" coordsize="21600,21600">
          <v:path/>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15</w:t>
                </w:r>
                <w:r>
                  <w:rPr>
                    <w:rFonts w:hint="eastAsia"/>
                    <w:lang w:eastAsia="zh-CN"/>
                  </w:rPr>
                  <w:fldChar w:fldCharType="end"/>
                </w:r>
              </w:p>
            </w:txbxContent>
          </v:textbox>
        </v:shape>
      </w:pic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w:pict>
        <v:shape id="_x0000_s4110" o:spid="_x0000_s4110" o:spt="202" type="#_x0000_t202" style="position:absolute;left:0pt;margin-top:0pt;height:144pt;width:144pt;mso-position-horizontal:center;mso-position-horizontal-relative:margin;mso-wrap-style:none;z-index:251671552;mso-width-relative:page;mso-height-relative:page;" filled="f" stroked="f" coordsize="21600,21600">
          <v:path/>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16</w:t>
                </w:r>
                <w:r>
                  <w:rPr>
                    <w:rFonts w:hint="eastAsia"/>
                    <w:lang w:eastAsia="zh-CN"/>
                  </w:rP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rPr>
        <w:rFonts w:hint="eastAsia" w:ascii="黑体" w:hAnsi="黑体" w:eastAsia="黑体" w:cs="黑体"/>
      </w:rPr>
    </w:pPr>
    <w:r>
      <w:rPr>
        <w:rFonts w:hint="eastAsia" w:ascii="黑体" w:hAnsi="黑体" w:eastAsia="黑体" w:cs="黑体"/>
        <w:sz w:val="18"/>
      </w:rPr>
      <w:pict>
        <v:shape id="_x0000_s4113" o:spid="_x0000_s4113"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v:textbox>
        </v:shape>
      </w:pic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w:pict>
        <v:shape id="_x0000_s4111" o:spid="_x0000_s4111" o:spt="202" type="#_x0000_t202" style="position:absolute;left:0pt;margin-top:0pt;height:144pt;width:144pt;mso-position-horizontal:center;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2</w:t>
                </w:r>
                <w:r>
                  <w:rPr>
                    <w:rFonts w:hint="eastAsia"/>
                    <w:lang w:eastAsia="zh-CN"/>
                  </w:rPr>
                  <w:fldChar w:fldCharType="end"/>
                </w:r>
              </w:p>
            </w:txbxContent>
          </v:textbox>
        </v:shape>
      </w:pic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w:pict>
        <v:shape id="_x0000_s4112" o:spid="_x0000_s4112" o:spt="202" type="#_x0000_t202" style="position:absolute;left:0pt;margin-top:0pt;height:144pt;width:144pt;mso-position-horizontal:center;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5</w:t>
                </w:r>
                <w:r>
                  <w:rPr>
                    <w:rFonts w:hint="eastAsia"/>
                    <w:lang w:eastAsia="zh-CN"/>
                  </w:rPr>
                  <w:fldChar w:fldCharType="end"/>
                </w:r>
              </w:p>
            </w:txbxContent>
          </v:textbox>
        </v:shape>
      </w:pic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w:pict>
        <v:shape id="_x0000_s4099" o:spid="_x0000_s4099" o:spt="202" type="#_x0000_t202" style="position:absolute;left:0pt;margin-top:0pt;height:144pt;width:144pt;mso-position-horizontal:center;mso-position-horizontal-relative:margin;mso-wrap-style:none;z-index:251661312;mso-width-relative:page;mso-height-relative:page;" filled="f" stroked="f" coordsize="21600,21600">
          <v:path/>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6</w:t>
                </w:r>
                <w:r>
                  <w:rPr>
                    <w:rFonts w:hint="eastAsia"/>
                    <w:lang w:eastAsia="zh-CN"/>
                  </w:rPr>
                  <w:fldChar w:fldCharType="end"/>
                </w:r>
              </w:p>
            </w:txbxContent>
          </v:textbox>
        </v:shape>
      </w:pic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w:pict>
        <v:shape id="_x0000_s4100" o:spid="_x0000_s4100" o:spt="202" type="#_x0000_t202" style="position:absolute;left:0pt;margin-top:0pt;height:144pt;width:144pt;mso-position-horizontal:center;mso-position-horizontal-relative:margin;mso-wrap-style:none;z-index:251662336;mso-width-relative:page;mso-height-relative:page;" filled="f" stroked="f" coordsize="21600,21600">
          <v:path/>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7</w:t>
                </w:r>
                <w:r>
                  <w:rPr>
                    <w:rFonts w:hint="eastAsia"/>
                    <w:lang w:eastAsia="zh-CN"/>
                  </w:rPr>
                  <w:fldChar w:fldCharType="end"/>
                </w:r>
              </w:p>
            </w:txbxContent>
          </v:textbox>
        </v:shape>
      </w:pic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w:pict>
        <v:shape id="_x0000_s4101" o:spid="_x0000_s4101" o:spt="202" type="#_x0000_t202" style="position:absolute;left:0pt;margin-top:0pt;height:144pt;width:144pt;mso-position-horizontal:center;mso-position-horizontal-relative:margin;mso-wrap-style:none;z-index:251663360;mso-width-relative:page;mso-height-relative:page;" filled="f" stroked="f" coordsize="21600,21600">
          <v:path/>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8</w:t>
                </w:r>
                <w:r>
                  <w:rPr>
                    <w:rFonts w:hint="eastAsia"/>
                    <w:lang w:eastAsia="zh-CN"/>
                  </w:rPr>
                  <w:fldChar w:fldCharType="end"/>
                </w:r>
              </w:p>
            </w:txbxContent>
          </v:textbox>
        </v:shape>
      </w:pic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w:pict>
        <v:shape id="_x0000_s4102" o:spid="_x0000_s4102" o:spt="202" type="#_x0000_t202" style="position:absolute;left:0pt;margin-top:0pt;height:144pt;width:144pt;mso-position-horizontal:center;mso-position-horizontal-relative:margin;mso-wrap-style:none;z-index:251664384;mso-width-relative:page;mso-height-relative:page;" filled="f" stroked="f" coordsize="21600,21600">
          <v:path/>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9</w:t>
                </w:r>
                <w:r>
                  <w:rPr>
                    <w:rFonts w:hint="eastAsia"/>
                    <w:lang w:eastAsia="zh-CN"/>
                  </w:rPr>
                  <w:fldChar w:fldCharType="end"/>
                </w:r>
              </w:p>
            </w:txbxContent>
          </v:textbox>
        </v:shape>
      </w:pic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w:pict>
        <v:shape id="_x0000_s4103" o:spid="_x0000_s4103" o:spt="202" type="#_x0000_t202" style="position:absolute;left:0pt;margin-top:0pt;height:144pt;width:144pt;mso-position-horizontal:center;mso-position-horizontal-relative:margin;mso-wrap-style:none;z-index:251665408;mso-width-relative:page;mso-height-relative:page;" filled="f" stroked="f" coordsize="21600,21600">
          <v:path/>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10</w:t>
                </w:r>
                <w:r>
                  <w:rPr>
                    <w:rFonts w:hint="eastAsia"/>
                    <w:lang w:eastAsia="zh-CN"/>
                  </w:rPr>
                  <w:fldChar w:fldCharType="end"/>
                </w:r>
              </w:p>
            </w:txbxContent>
          </v:textbox>
        </v:shape>
      </w:pic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pPr>
      <w:r>
        <w:separator/>
      </w:r>
    </w:p>
  </w:footnote>
  <w:footnote w:type="continuationSeparator" w:id="1">
    <w:p>
      <w:pPr>
        <w:spacing w:before="0"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bottom w:val="single" w:color="000000" w:sz="4" w:space="1"/>
      </w:pBdr>
      <w:jc w:val="both"/>
      <w:rPr>
        <w:rFonts w:hint="default" w:eastAsia="Arial Unicode MS"/>
        <w:lang w:val="en-US" w:eastAsia="zh-CN"/>
      </w:rPr>
    </w:pPr>
    <w:r>
      <w:rPr>
        <w:rFonts w:hint="eastAsia"/>
        <w:lang w:val="en-US" w:eastAsia="zh-CN"/>
      </w:rPr>
      <w:t>无锡市滨湖区公共资源交易中心</w:t>
    </w:r>
    <w:r>
      <w:t>2025</w:t>
    </w:r>
    <w:r>
      <w:t>年度</w:t>
    </w:r>
    <w:r>
      <w:t>部门</w:t>
    </w:r>
    <w:r>
      <w:t>预算公开</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bottom w:val="none" w:color="auto" w:sz="0" w:space="1"/>
      </w:pBdr>
      <w:jc w:val="both"/>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0"/>
  <w:autoHyphenation/>
  <w:displayHorizontalDrawingGridEvery w:val="1"/>
  <w:displayVerticalDrawingGridEvery w:val="1"/>
  <w:noPunctuationKerning w:val="1"/>
  <w:characterSpacingControl w:val="doNotCompress"/>
  <w:hdrShapeDefaults>
    <o:shapelayout v:ext="edit">
      <o:idmap v:ext="edit" data="3,4"/>
    </o:shapelayout>
  </w:hdrShapeDefaults>
  <w:footnotePr>
    <w:footnote w:id="0"/>
    <w:footnote w:id="1"/>
  </w:footnotePr>
  <w:compat>
    <w:doNotExpandShiftReturn/>
    <w:doNotWrapTextWithPunct/>
    <w:doNotUseEastAsianBreakRules/>
    <w:useFELayout/>
    <w:doNotUseIndentAsNumberingTabStop/>
    <w:useAltKinsokuLineBreakRules/>
    <w:compatSetting w:name="compatibilityMode" w:uri="http://schemas.microsoft.com/office/word" w:val="12"/>
  </w:compat>
  <w:docVars>
    <w:docVar w:name="commondata" w:val="eyJoZGlkIjoiMGUwNWYwNGFmYzNiMTMwMzI4MzFhMzI2ZWRjOTFjMmMifQ=="/>
  </w:docVars>
  <w:rsids>
    <w:rsidRoot w:val="00000000"/>
    <w:rsid w:val="00064984"/>
    <w:rsid w:val="00071288"/>
    <w:rsid w:val="00071789"/>
    <w:rsid w:val="000F12AB"/>
    <w:rsid w:val="001C31F9"/>
    <w:rsid w:val="00407CA7"/>
    <w:rsid w:val="00413AD8"/>
    <w:rsid w:val="00671ED7"/>
    <w:rsid w:val="00672164"/>
    <w:rsid w:val="00867423"/>
    <w:rsid w:val="008B5B05"/>
    <w:rsid w:val="00925913"/>
    <w:rsid w:val="009965EA"/>
    <w:rsid w:val="00A61D7A"/>
    <w:rsid w:val="00A6752E"/>
    <w:rsid w:val="00BD7F33"/>
    <w:rsid w:val="00C15920"/>
    <w:rsid w:val="00C35C3A"/>
    <w:rsid w:val="00C82582"/>
    <w:rsid w:val="00F12F06"/>
    <w:rsid w:val="00FA3233"/>
    <w:rsid w:val="010F1E77"/>
    <w:rsid w:val="01200B85"/>
    <w:rsid w:val="012323F2"/>
    <w:rsid w:val="01250615"/>
    <w:rsid w:val="012A50BF"/>
    <w:rsid w:val="015B071F"/>
    <w:rsid w:val="01661111"/>
    <w:rsid w:val="017E3D30"/>
    <w:rsid w:val="01875334"/>
    <w:rsid w:val="018E7014"/>
    <w:rsid w:val="019803DB"/>
    <w:rsid w:val="01C21D36"/>
    <w:rsid w:val="01C22655"/>
    <w:rsid w:val="01CD5A6A"/>
    <w:rsid w:val="01D4677F"/>
    <w:rsid w:val="01F17DF5"/>
    <w:rsid w:val="022643FE"/>
    <w:rsid w:val="0231361C"/>
    <w:rsid w:val="023277C7"/>
    <w:rsid w:val="02420B21"/>
    <w:rsid w:val="026604FF"/>
    <w:rsid w:val="027F398B"/>
    <w:rsid w:val="02A822D0"/>
    <w:rsid w:val="02A9040F"/>
    <w:rsid w:val="02B14230"/>
    <w:rsid w:val="02C41DBA"/>
    <w:rsid w:val="02D43672"/>
    <w:rsid w:val="02D56677"/>
    <w:rsid w:val="02DD471D"/>
    <w:rsid w:val="02DF2FA6"/>
    <w:rsid w:val="02E539E2"/>
    <w:rsid w:val="02E8449D"/>
    <w:rsid w:val="02EB5F67"/>
    <w:rsid w:val="02F513AC"/>
    <w:rsid w:val="0306289F"/>
    <w:rsid w:val="03121471"/>
    <w:rsid w:val="03126CBF"/>
    <w:rsid w:val="033F3F8A"/>
    <w:rsid w:val="03453111"/>
    <w:rsid w:val="03635EB9"/>
    <w:rsid w:val="03673847"/>
    <w:rsid w:val="03690F36"/>
    <w:rsid w:val="03793778"/>
    <w:rsid w:val="039F7320"/>
    <w:rsid w:val="03A06F63"/>
    <w:rsid w:val="03A76AFB"/>
    <w:rsid w:val="03D04B72"/>
    <w:rsid w:val="03D2638C"/>
    <w:rsid w:val="03D34A4B"/>
    <w:rsid w:val="03F86EFB"/>
    <w:rsid w:val="04156348"/>
    <w:rsid w:val="042D0AE6"/>
    <w:rsid w:val="04301AF9"/>
    <w:rsid w:val="043C03D6"/>
    <w:rsid w:val="044E689B"/>
    <w:rsid w:val="045E5FB7"/>
    <w:rsid w:val="046D688B"/>
    <w:rsid w:val="0495610D"/>
    <w:rsid w:val="04AD7D7D"/>
    <w:rsid w:val="04DF580C"/>
    <w:rsid w:val="04E54727"/>
    <w:rsid w:val="04EA46EB"/>
    <w:rsid w:val="04FC61BF"/>
    <w:rsid w:val="05031920"/>
    <w:rsid w:val="05185546"/>
    <w:rsid w:val="052126A9"/>
    <w:rsid w:val="0524518E"/>
    <w:rsid w:val="05247FC3"/>
    <w:rsid w:val="05346113"/>
    <w:rsid w:val="05423E9C"/>
    <w:rsid w:val="05600A24"/>
    <w:rsid w:val="057525F6"/>
    <w:rsid w:val="057D4E99"/>
    <w:rsid w:val="05843580"/>
    <w:rsid w:val="058C526F"/>
    <w:rsid w:val="0598316E"/>
    <w:rsid w:val="059F005F"/>
    <w:rsid w:val="05AB4AE4"/>
    <w:rsid w:val="05BD2716"/>
    <w:rsid w:val="05BE0290"/>
    <w:rsid w:val="05C26309"/>
    <w:rsid w:val="05C73A91"/>
    <w:rsid w:val="05D02834"/>
    <w:rsid w:val="05DB339C"/>
    <w:rsid w:val="05FE3016"/>
    <w:rsid w:val="060036BC"/>
    <w:rsid w:val="06006806"/>
    <w:rsid w:val="0603001C"/>
    <w:rsid w:val="060D1C4C"/>
    <w:rsid w:val="06122688"/>
    <w:rsid w:val="061C50DF"/>
    <w:rsid w:val="06230B92"/>
    <w:rsid w:val="063A5C0D"/>
    <w:rsid w:val="06542957"/>
    <w:rsid w:val="0681129C"/>
    <w:rsid w:val="06814BC1"/>
    <w:rsid w:val="069443D9"/>
    <w:rsid w:val="0695552F"/>
    <w:rsid w:val="06C82C74"/>
    <w:rsid w:val="06C87B62"/>
    <w:rsid w:val="06CE7B40"/>
    <w:rsid w:val="06CF29F0"/>
    <w:rsid w:val="06DF6D8E"/>
    <w:rsid w:val="06F64F39"/>
    <w:rsid w:val="072A453E"/>
    <w:rsid w:val="073A470E"/>
    <w:rsid w:val="074746B7"/>
    <w:rsid w:val="07502153"/>
    <w:rsid w:val="07520D7A"/>
    <w:rsid w:val="075575FE"/>
    <w:rsid w:val="07580A5A"/>
    <w:rsid w:val="07605D4D"/>
    <w:rsid w:val="07656047"/>
    <w:rsid w:val="077C711D"/>
    <w:rsid w:val="0791508D"/>
    <w:rsid w:val="079361A1"/>
    <w:rsid w:val="079544D8"/>
    <w:rsid w:val="07BE5639"/>
    <w:rsid w:val="07C509DD"/>
    <w:rsid w:val="07E94F52"/>
    <w:rsid w:val="07ED0853"/>
    <w:rsid w:val="0802783B"/>
    <w:rsid w:val="08031AA7"/>
    <w:rsid w:val="0806186F"/>
    <w:rsid w:val="081B2715"/>
    <w:rsid w:val="082E3E50"/>
    <w:rsid w:val="083365CC"/>
    <w:rsid w:val="083B723A"/>
    <w:rsid w:val="084A66D7"/>
    <w:rsid w:val="08582C83"/>
    <w:rsid w:val="0860441B"/>
    <w:rsid w:val="086A0004"/>
    <w:rsid w:val="088901F8"/>
    <w:rsid w:val="08913758"/>
    <w:rsid w:val="08A333FC"/>
    <w:rsid w:val="08B16290"/>
    <w:rsid w:val="08BD1AAD"/>
    <w:rsid w:val="08D342E7"/>
    <w:rsid w:val="08E134F8"/>
    <w:rsid w:val="08FC0605"/>
    <w:rsid w:val="08FE52B0"/>
    <w:rsid w:val="090F5FB7"/>
    <w:rsid w:val="09165D85"/>
    <w:rsid w:val="092660BA"/>
    <w:rsid w:val="09335ED1"/>
    <w:rsid w:val="093E6258"/>
    <w:rsid w:val="096204B4"/>
    <w:rsid w:val="096B0C35"/>
    <w:rsid w:val="09755324"/>
    <w:rsid w:val="09891979"/>
    <w:rsid w:val="098926B4"/>
    <w:rsid w:val="09984875"/>
    <w:rsid w:val="09C976A3"/>
    <w:rsid w:val="09D842BB"/>
    <w:rsid w:val="09E82283"/>
    <w:rsid w:val="09EB3C7D"/>
    <w:rsid w:val="09F032D5"/>
    <w:rsid w:val="09F45579"/>
    <w:rsid w:val="09FE0C6E"/>
    <w:rsid w:val="0A097E66"/>
    <w:rsid w:val="0A0C628A"/>
    <w:rsid w:val="0A112BB9"/>
    <w:rsid w:val="0A1D215F"/>
    <w:rsid w:val="0A2639C8"/>
    <w:rsid w:val="0A3F45FE"/>
    <w:rsid w:val="0A401C98"/>
    <w:rsid w:val="0A7F08D2"/>
    <w:rsid w:val="0A964BFD"/>
    <w:rsid w:val="0AA075CB"/>
    <w:rsid w:val="0AAE2A44"/>
    <w:rsid w:val="0AC21E5D"/>
    <w:rsid w:val="0AC55FA1"/>
    <w:rsid w:val="0ADA70C2"/>
    <w:rsid w:val="0AFD463B"/>
    <w:rsid w:val="0B05614C"/>
    <w:rsid w:val="0B134992"/>
    <w:rsid w:val="0B160131"/>
    <w:rsid w:val="0B230AE7"/>
    <w:rsid w:val="0B2A7862"/>
    <w:rsid w:val="0B307A4D"/>
    <w:rsid w:val="0B392278"/>
    <w:rsid w:val="0B47682F"/>
    <w:rsid w:val="0B7D689F"/>
    <w:rsid w:val="0B813D25"/>
    <w:rsid w:val="0B830273"/>
    <w:rsid w:val="0B89728A"/>
    <w:rsid w:val="0B927AE0"/>
    <w:rsid w:val="0BAC43D1"/>
    <w:rsid w:val="0BBA5B2E"/>
    <w:rsid w:val="0BC71572"/>
    <w:rsid w:val="0BCF6DAD"/>
    <w:rsid w:val="0BF41C52"/>
    <w:rsid w:val="0C047996"/>
    <w:rsid w:val="0C163DEC"/>
    <w:rsid w:val="0C2215AA"/>
    <w:rsid w:val="0C276CFA"/>
    <w:rsid w:val="0C6536DB"/>
    <w:rsid w:val="0C797590"/>
    <w:rsid w:val="0C8331D2"/>
    <w:rsid w:val="0C887036"/>
    <w:rsid w:val="0CA85DF1"/>
    <w:rsid w:val="0CD230A9"/>
    <w:rsid w:val="0CD65166"/>
    <w:rsid w:val="0CDB2BBC"/>
    <w:rsid w:val="0CE84C0B"/>
    <w:rsid w:val="0CEF2113"/>
    <w:rsid w:val="0CEF2581"/>
    <w:rsid w:val="0CF6511F"/>
    <w:rsid w:val="0D05225F"/>
    <w:rsid w:val="0D135B57"/>
    <w:rsid w:val="0D261419"/>
    <w:rsid w:val="0D5C0A4E"/>
    <w:rsid w:val="0D617032"/>
    <w:rsid w:val="0D6C5D61"/>
    <w:rsid w:val="0D710964"/>
    <w:rsid w:val="0D760FDB"/>
    <w:rsid w:val="0D7F345D"/>
    <w:rsid w:val="0D967B5D"/>
    <w:rsid w:val="0DAC0D2B"/>
    <w:rsid w:val="0DBC505E"/>
    <w:rsid w:val="0DC6242A"/>
    <w:rsid w:val="0DD06A00"/>
    <w:rsid w:val="0DEA4D10"/>
    <w:rsid w:val="0DF26A45"/>
    <w:rsid w:val="0DFC3CDF"/>
    <w:rsid w:val="0DFD772C"/>
    <w:rsid w:val="0DFF5826"/>
    <w:rsid w:val="0E1F1C4F"/>
    <w:rsid w:val="0E27451D"/>
    <w:rsid w:val="0E360EBF"/>
    <w:rsid w:val="0E446C91"/>
    <w:rsid w:val="0E5E7568"/>
    <w:rsid w:val="0E662847"/>
    <w:rsid w:val="0E931E6B"/>
    <w:rsid w:val="0E94230E"/>
    <w:rsid w:val="0E9B0E3D"/>
    <w:rsid w:val="0EE37775"/>
    <w:rsid w:val="0EEB14E4"/>
    <w:rsid w:val="0EFE25F0"/>
    <w:rsid w:val="0F074533"/>
    <w:rsid w:val="0F126197"/>
    <w:rsid w:val="0F160696"/>
    <w:rsid w:val="0F196D84"/>
    <w:rsid w:val="0F35442E"/>
    <w:rsid w:val="0F5D08F2"/>
    <w:rsid w:val="0F636360"/>
    <w:rsid w:val="0F6874F8"/>
    <w:rsid w:val="0F722DC1"/>
    <w:rsid w:val="0F807B33"/>
    <w:rsid w:val="0F8F17E6"/>
    <w:rsid w:val="0F951429"/>
    <w:rsid w:val="0FA12FE2"/>
    <w:rsid w:val="0FA87597"/>
    <w:rsid w:val="0FB02B15"/>
    <w:rsid w:val="0FB21F29"/>
    <w:rsid w:val="0FB47D1E"/>
    <w:rsid w:val="0FCE598D"/>
    <w:rsid w:val="0FD04F5B"/>
    <w:rsid w:val="0FEF37CA"/>
    <w:rsid w:val="0FF3733C"/>
    <w:rsid w:val="100928FC"/>
    <w:rsid w:val="101C6AA7"/>
    <w:rsid w:val="10201C61"/>
    <w:rsid w:val="10223EE6"/>
    <w:rsid w:val="1027035F"/>
    <w:rsid w:val="102A69EF"/>
    <w:rsid w:val="103D6600"/>
    <w:rsid w:val="10566122"/>
    <w:rsid w:val="106204CB"/>
    <w:rsid w:val="10A90FB7"/>
    <w:rsid w:val="10EE0376"/>
    <w:rsid w:val="10F05AC0"/>
    <w:rsid w:val="10F845FF"/>
    <w:rsid w:val="11037A82"/>
    <w:rsid w:val="1106739D"/>
    <w:rsid w:val="11092167"/>
    <w:rsid w:val="110C3973"/>
    <w:rsid w:val="110D47B0"/>
    <w:rsid w:val="11110225"/>
    <w:rsid w:val="111930E1"/>
    <w:rsid w:val="11252430"/>
    <w:rsid w:val="1143676B"/>
    <w:rsid w:val="11471791"/>
    <w:rsid w:val="115455AE"/>
    <w:rsid w:val="11566852"/>
    <w:rsid w:val="11665F46"/>
    <w:rsid w:val="11731E49"/>
    <w:rsid w:val="117C1012"/>
    <w:rsid w:val="11872569"/>
    <w:rsid w:val="118B4C58"/>
    <w:rsid w:val="11AB09B5"/>
    <w:rsid w:val="11C36B1F"/>
    <w:rsid w:val="11C52DC5"/>
    <w:rsid w:val="11F13A70"/>
    <w:rsid w:val="11F221C7"/>
    <w:rsid w:val="11F2605E"/>
    <w:rsid w:val="11F724E3"/>
    <w:rsid w:val="120D722B"/>
    <w:rsid w:val="120E398D"/>
    <w:rsid w:val="122227BF"/>
    <w:rsid w:val="12313173"/>
    <w:rsid w:val="12313682"/>
    <w:rsid w:val="12417561"/>
    <w:rsid w:val="124507C4"/>
    <w:rsid w:val="125C02AF"/>
    <w:rsid w:val="12613C4A"/>
    <w:rsid w:val="12747306"/>
    <w:rsid w:val="128157F4"/>
    <w:rsid w:val="12B566A2"/>
    <w:rsid w:val="12BB25EA"/>
    <w:rsid w:val="12C448B1"/>
    <w:rsid w:val="12C80F12"/>
    <w:rsid w:val="12F05187"/>
    <w:rsid w:val="12F12F8E"/>
    <w:rsid w:val="13082AF4"/>
    <w:rsid w:val="13142710"/>
    <w:rsid w:val="1335650B"/>
    <w:rsid w:val="133E1FA2"/>
    <w:rsid w:val="134640CA"/>
    <w:rsid w:val="1393557C"/>
    <w:rsid w:val="139377AA"/>
    <w:rsid w:val="13A44407"/>
    <w:rsid w:val="13BF1F88"/>
    <w:rsid w:val="13D61754"/>
    <w:rsid w:val="13E2730D"/>
    <w:rsid w:val="13F85ED3"/>
    <w:rsid w:val="140626B0"/>
    <w:rsid w:val="140C350F"/>
    <w:rsid w:val="14176DEC"/>
    <w:rsid w:val="14207DA2"/>
    <w:rsid w:val="142101C9"/>
    <w:rsid w:val="1426656E"/>
    <w:rsid w:val="143016E3"/>
    <w:rsid w:val="143164E8"/>
    <w:rsid w:val="14341A45"/>
    <w:rsid w:val="14677E98"/>
    <w:rsid w:val="146856DB"/>
    <w:rsid w:val="147E4E1C"/>
    <w:rsid w:val="14933F94"/>
    <w:rsid w:val="14A601B4"/>
    <w:rsid w:val="14AA0D30"/>
    <w:rsid w:val="14BA3B44"/>
    <w:rsid w:val="14BC5944"/>
    <w:rsid w:val="1504334D"/>
    <w:rsid w:val="15085477"/>
    <w:rsid w:val="15301F7D"/>
    <w:rsid w:val="15510701"/>
    <w:rsid w:val="15664CCA"/>
    <w:rsid w:val="15751E1E"/>
    <w:rsid w:val="159E0364"/>
    <w:rsid w:val="15A6321E"/>
    <w:rsid w:val="15A93A1E"/>
    <w:rsid w:val="15B93CF7"/>
    <w:rsid w:val="15BC393E"/>
    <w:rsid w:val="15D36B14"/>
    <w:rsid w:val="16053674"/>
    <w:rsid w:val="16146EAD"/>
    <w:rsid w:val="161A451C"/>
    <w:rsid w:val="161E395E"/>
    <w:rsid w:val="1621543B"/>
    <w:rsid w:val="1624624B"/>
    <w:rsid w:val="16362556"/>
    <w:rsid w:val="163E1726"/>
    <w:rsid w:val="164E09AC"/>
    <w:rsid w:val="165D4EE7"/>
    <w:rsid w:val="165F31F4"/>
    <w:rsid w:val="1668038E"/>
    <w:rsid w:val="167F1A6B"/>
    <w:rsid w:val="16971C37"/>
    <w:rsid w:val="16BC7A59"/>
    <w:rsid w:val="16BE14E7"/>
    <w:rsid w:val="16BE34FA"/>
    <w:rsid w:val="16E22E32"/>
    <w:rsid w:val="16ED632E"/>
    <w:rsid w:val="1717031D"/>
    <w:rsid w:val="171E4E0F"/>
    <w:rsid w:val="174C5C53"/>
    <w:rsid w:val="175D47C3"/>
    <w:rsid w:val="17A3379A"/>
    <w:rsid w:val="17AA17F9"/>
    <w:rsid w:val="17BB6387"/>
    <w:rsid w:val="17BC2D29"/>
    <w:rsid w:val="17CE15BC"/>
    <w:rsid w:val="17E30A34"/>
    <w:rsid w:val="18001707"/>
    <w:rsid w:val="1808589E"/>
    <w:rsid w:val="18222DA8"/>
    <w:rsid w:val="18272F04"/>
    <w:rsid w:val="183338BA"/>
    <w:rsid w:val="18473583"/>
    <w:rsid w:val="18524953"/>
    <w:rsid w:val="186600A5"/>
    <w:rsid w:val="18794B37"/>
    <w:rsid w:val="18881E90"/>
    <w:rsid w:val="188B47DF"/>
    <w:rsid w:val="18916DBC"/>
    <w:rsid w:val="18AA3C15"/>
    <w:rsid w:val="18C07826"/>
    <w:rsid w:val="18C459C9"/>
    <w:rsid w:val="18C77023"/>
    <w:rsid w:val="18D61672"/>
    <w:rsid w:val="18EF66F3"/>
    <w:rsid w:val="18FD3C01"/>
    <w:rsid w:val="19195D82"/>
    <w:rsid w:val="191C7DE1"/>
    <w:rsid w:val="19343FC3"/>
    <w:rsid w:val="19414FE0"/>
    <w:rsid w:val="194A216C"/>
    <w:rsid w:val="194C63DF"/>
    <w:rsid w:val="19517451"/>
    <w:rsid w:val="196D1879"/>
    <w:rsid w:val="19894C4A"/>
    <w:rsid w:val="19902294"/>
    <w:rsid w:val="199B578D"/>
    <w:rsid w:val="199D3E22"/>
    <w:rsid w:val="19A676CD"/>
    <w:rsid w:val="19B34CEE"/>
    <w:rsid w:val="19C57B31"/>
    <w:rsid w:val="19CE54E8"/>
    <w:rsid w:val="19DA0E66"/>
    <w:rsid w:val="19E971DB"/>
    <w:rsid w:val="1A0868DE"/>
    <w:rsid w:val="1A1F3D9C"/>
    <w:rsid w:val="1A386BB6"/>
    <w:rsid w:val="1A3E0B9C"/>
    <w:rsid w:val="1A641248"/>
    <w:rsid w:val="1A69798E"/>
    <w:rsid w:val="1A6B178B"/>
    <w:rsid w:val="1A777E45"/>
    <w:rsid w:val="1A980FA1"/>
    <w:rsid w:val="1AB47408"/>
    <w:rsid w:val="1AD90120"/>
    <w:rsid w:val="1ADD7704"/>
    <w:rsid w:val="1AEB035A"/>
    <w:rsid w:val="1AF0114F"/>
    <w:rsid w:val="1B0C3664"/>
    <w:rsid w:val="1B136BC2"/>
    <w:rsid w:val="1B1C5890"/>
    <w:rsid w:val="1B1D0ABE"/>
    <w:rsid w:val="1B2F4D83"/>
    <w:rsid w:val="1B304188"/>
    <w:rsid w:val="1B304996"/>
    <w:rsid w:val="1B363B76"/>
    <w:rsid w:val="1B394ECA"/>
    <w:rsid w:val="1B401513"/>
    <w:rsid w:val="1B6F2A95"/>
    <w:rsid w:val="1B7011A6"/>
    <w:rsid w:val="1B785235"/>
    <w:rsid w:val="1B792ACF"/>
    <w:rsid w:val="1B840862"/>
    <w:rsid w:val="1B894395"/>
    <w:rsid w:val="1BB55613"/>
    <w:rsid w:val="1BC27E9A"/>
    <w:rsid w:val="1BC50E0F"/>
    <w:rsid w:val="1BC6758D"/>
    <w:rsid w:val="1BC84BF9"/>
    <w:rsid w:val="1BCA1AE9"/>
    <w:rsid w:val="1BD968B0"/>
    <w:rsid w:val="1BE008E5"/>
    <w:rsid w:val="1BE426E0"/>
    <w:rsid w:val="1BEF5EDC"/>
    <w:rsid w:val="1BF3045F"/>
    <w:rsid w:val="1C0C63DC"/>
    <w:rsid w:val="1C136791"/>
    <w:rsid w:val="1C171374"/>
    <w:rsid w:val="1C2E7658"/>
    <w:rsid w:val="1C3911E9"/>
    <w:rsid w:val="1C460024"/>
    <w:rsid w:val="1C4928ED"/>
    <w:rsid w:val="1C545CAF"/>
    <w:rsid w:val="1C706707"/>
    <w:rsid w:val="1C8F4549"/>
    <w:rsid w:val="1C923280"/>
    <w:rsid w:val="1C9B1094"/>
    <w:rsid w:val="1C9D7829"/>
    <w:rsid w:val="1CA25487"/>
    <w:rsid w:val="1CAD7144"/>
    <w:rsid w:val="1CD05B49"/>
    <w:rsid w:val="1CD53375"/>
    <w:rsid w:val="1CD770E1"/>
    <w:rsid w:val="1CDF3C35"/>
    <w:rsid w:val="1CE24559"/>
    <w:rsid w:val="1CE7284C"/>
    <w:rsid w:val="1CED64E7"/>
    <w:rsid w:val="1CF655C7"/>
    <w:rsid w:val="1CF70CE3"/>
    <w:rsid w:val="1D0E4D1B"/>
    <w:rsid w:val="1D0F64B4"/>
    <w:rsid w:val="1D103F06"/>
    <w:rsid w:val="1D201166"/>
    <w:rsid w:val="1D3214B5"/>
    <w:rsid w:val="1D383DB3"/>
    <w:rsid w:val="1D387361"/>
    <w:rsid w:val="1D387D1B"/>
    <w:rsid w:val="1D5A4782"/>
    <w:rsid w:val="1D623037"/>
    <w:rsid w:val="1D672CB3"/>
    <w:rsid w:val="1D7C0925"/>
    <w:rsid w:val="1D817975"/>
    <w:rsid w:val="1D8D6595"/>
    <w:rsid w:val="1D906641"/>
    <w:rsid w:val="1D93356C"/>
    <w:rsid w:val="1D951979"/>
    <w:rsid w:val="1DA8336C"/>
    <w:rsid w:val="1DAF110E"/>
    <w:rsid w:val="1DB61054"/>
    <w:rsid w:val="1DB87467"/>
    <w:rsid w:val="1DC94431"/>
    <w:rsid w:val="1DD028C9"/>
    <w:rsid w:val="1DF402E5"/>
    <w:rsid w:val="1E0F2F88"/>
    <w:rsid w:val="1E107489"/>
    <w:rsid w:val="1E120047"/>
    <w:rsid w:val="1E2456FC"/>
    <w:rsid w:val="1E2B042A"/>
    <w:rsid w:val="1E387717"/>
    <w:rsid w:val="1E4314E9"/>
    <w:rsid w:val="1E5227F5"/>
    <w:rsid w:val="1E5841ED"/>
    <w:rsid w:val="1E5939DF"/>
    <w:rsid w:val="1E5B1486"/>
    <w:rsid w:val="1E6C2CB1"/>
    <w:rsid w:val="1E802C45"/>
    <w:rsid w:val="1E845937"/>
    <w:rsid w:val="1E86604F"/>
    <w:rsid w:val="1E8B2478"/>
    <w:rsid w:val="1EA55F87"/>
    <w:rsid w:val="1EB14C1F"/>
    <w:rsid w:val="1EBB4C20"/>
    <w:rsid w:val="1EC57AB3"/>
    <w:rsid w:val="1ECE40F1"/>
    <w:rsid w:val="1EF33AAB"/>
    <w:rsid w:val="1EF93282"/>
    <w:rsid w:val="1EFC05DA"/>
    <w:rsid w:val="1F242409"/>
    <w:rsid w:val="1F316BB4"/>
    <w:rsid w:val="1F336463"/>
    <w:rsid w:val="1F342CDC"/>
    <w:rsid w:val="1F4E1AE0"/>
    <w:rsid w:val="1F5838AB"/>
    <w:rsid w:val="1F721347"/>
    <w:rsid w:val="1F724421"/>
    <w:rsid w:val="1F8122F8"/>
    <w:rsid w:val="1F8B39C7"/>
    <w:rsid w:val="1F8C1569"/>
    <w:rsid w:val="1FA17CC2"/>
    <w:rsid w:val="1FD5645B"/>
    <w:rsid w:val="1FD866E0"/>
    <w:rsid w:val="1FEA282E"/>
    <w:rsid w:val="1FF92872"/>
    <w:rsid w:val="1FFE4976"/>
    <w:rsid w:val="200945DD"/>
    <w:rsid w:val="200B03E4"/>
    <w:rsid w:val="200E293D"/>
    <w:rsid w:val="201802D4"/>
    <w:rsid w:val="203E1903"/>
    <w:rsid w:val="203E1A00"/>
    <w:rsid w:val="20571955"/>
    <w:rsid w:val="20594713"/>
    <w:rsid w:val="20623C07"/>
    <w:rsid w:val="20632091"/>
    <w:rsid w:val="20900DEF"/>
    <w:rsid w:val="209B6228"/>
    <w:rsid w:val="20C60ED2"/>
    <w:rsid w:val="20C936CA"/>
    <w:rsid w:val="20CA3D8E"/>
    <w:rsid w:val="20D220E2"/>
    <w:rsid w:val="20F544F1"/>
    <w:rsid w:val="21203D8A"/>
    <w:rsid w:val="2148186B"/>
    <w:rsid w:val="21701F90"/>
    <w:rsid w:val="21776D10"/>
    <w:rsid w:val="21866291"/>
    <w:rsid w:val="218F0CEB"/>
    <w:rsid w:val="218F78F2"/>
    <w:rsid w:val="21A55BAA"/>
    <w:rsid w:val="21D50133"/>
    <w:rsid w:val="21EA64FE"/>
    <w:rsid w:val="22145011"/>
    <w:rsid w:val="223D4452"/>
    <w:rsid w:val="223F0861"/>
    <w:rsid w:val="22442034"/>
    <w:rsid w:val="224F77DA"/>
    <w:rsid w:val="227347E3"/>
    <w:rsid w:val="227D4749"/>
    <w:rsid w:val="22812FB7"/>
    <w:rsid w:val="228D26CE"/>
    <w:rsid w:val="229E476C"/>
    <w:rsid w:val="22B66C67"/>
    <w:rsid w:val="22B96619"/>
    <w:rsid w:val="22C32A6D"/>
    <w:rsid w:val="22C9349D"/>
    <w:rsid w:val="22CF4CB9"/>
    <w:rsid w:val="22E5714F"/>
    <w:rsid w:val="22E640D2"/>
    <w:rsid w:val="22F9307D"/>
    <w:rsid w:val="22FF181D"/>
    <w:rsid w:val="23017A9F"/>
    <w:rsid w:val="23073234"/>
    <w:rsid w:val="23153D35"/>
    <w:rsid w:val="231859C4"/>
    <w:rsid w:val="233651B2"/>
    <w:rsid w:val="233C5C01"/>
    <w:rsid w:val="234F51B0"/>
    <w:rsid w:val="23655593"/>
    <w:rsid w:val="237119E0"/>
    <w:rsid w:val="23873CA0"/>
    <w:rsid w:val="239B7C6E"/>
    <w:rsid w:val="23A668C2"/>
    <w:rsid w:val="23AC083E"/>
    <w:rsid w:val="23C56A83"/>
    <w:rsid w:val="23CC14AA"/>
    <w:rsid w:val="23D87A5D"/>
    <w:rsid w:val="23F81D1C"/>
    <w:rsid w:val="23F87AE8"/>
    <w:rsid w:val="24004EF0"/>
    <w:rsid w:val="241C168B"/>
    <w:rsid w:val="242403FF"/>
    <w:rsid w:val="24361C71"/>
    <w:rsid w:val="2443382C"/>
    <w:rsid w:val="244706D0"/>
    <w:rsid w:val="244E4876"/>
    <w:rsid w:val="2455798C"/>
    <w:rsid w:val="246E4FE1"/>
    <w:rsid w:val="247771B1"/>
    <w:rsid w:val="24797436"/>
    <w:rsid w:val="24893698"/>
    <w:rsid w:val="248A0DA1"/>
    <w:rsid w:val="248B0DC9"/>
    <w:rsid w:val="24EF440E"/>
    <w:rsid w:val="25191A92"/>
    <w:rsid w:val="25290357"/>
    <w:rsid w:val="253C3B25"/>
    <w:rsid w:val="255657E1"/>
    <w:rsid w:val="255973A9"/>
    <w:rsid w:val="255F5B0A"/>
    <w:rsid w:val="2562495D"/>
    <w:rsid w:val="2565212F"/>
    <w:rsid w:val="25664EB1"/>
    <w:rsid w:val="2573629D"/>
    <w:rsid w:val="257B7E43"/>
    <w:rsid w:val="257E4B14"/>
    <w:rsid w:val="257F631A"/>
    <w:rsid w:val="2581181F"/>
    <w:rsid w:val="258471C2"/>
    <w:rsid w:val="258B7C76"/>
    <w:rsid w:val="259D492D"/>
    <w:rsid w:val="25A120E6"/>
    <w:rsid w:val="25A62926"/>
    <w:rsid w:val="25A7022D"/>
    <w:rsid w:val="25AA772C"/>
    <w:rsid w:val="25BD0276"/>
    <w:rsid w:val="25E2513A"/>
    <w:rsid w:val="25F45922"/>
    <w:rsid w:val="25FD2F48"/>
    <w:rsid w:val="260419A0"/>
    <w:rsid w:val="262D4206"/>
    <w:rsid w:val="262E21CA"/>
    <w:rsid w:val="2650449B"/>
    <w:rsid w:val="26523500"/>
    <w:rsid w:val="2657371E"/>
    <w:rsid w:val="26713F63"/>
    <w:rsid w:val="26753166"/>
    <w:rsid w:val="267C5A99"/>
    <w:rsid w:val="2682148D"/>
    <w:rsid w:val="26874807"/>
    <w:rsid w:val="268D22B5"/>
    <w:rsid w:val="269240CC"/>
    <w:rsid w:val="26955595"/>
    <w:rsid w:val="269A47B4"/>
    <w:rsid w:val="26CC2C30"/>
    <w:rsid w:val="26EC7F5B"/>
    <w:rsid w:val="27175BDC"/>
    <w:rsid w:val="271B5FAA"/>
    <w:rsid w:val="271E071C"/>
    <w:rsid w:val="272B00CD"/>
    <w:rsid w:val="27381EB7"/>
    <w:rsid w:val="27391B86"/>
    <w:rsid w:val="27504A85"/>
    <w:rsid w:val="275E5E47"/>
    <w:rsid w:val="27924AA1"/>
    <w:rsid w:val="27962E21"/>
    <w:rsid w:val="2796479F"/>
    <w:rsid w:val="279768B3"/>
    <w:rsid w:val="279A19EA"/>
    <w:rsid w:val="279C172C"/>
    <w:rsid w:val="27A565BD"/>
    <w:rsid w:val="27B169B4"/>
    <w:rsid w:val="27B911ED"/>
    <w:rsid w:val="27C54989"/>
    <w:rsid w:val="27D27F60"/>
    <w:rsid w:val="27E744FA"/>
    <w:rsid w:val="27E83986"/>
    <w:rsid w:val="27F44081"/>
    <w:rsid w:val="27F83B89"/>
    <w:rsid w:val="27FE146D"/>
    <w:rsid w:val="283A041C"/>
    <w:rsid w:val="283E36E3"/>
    <w:rsid w:val="284675E2"/>
    <w:rsid w:val="284E0B22"/>
    <w:rsid w:val="28543497"/>
    <w:rsid w:val="285964FE"/>
    <w:rsid w:val="28630B61"/>
    <w:rsid w:val="286C012F"/>
    <w:rsid w:val="28801A49"/>
    <w:rsid w:val="288A740B"/>
    <w:rsid w:val="289B5942"/>
    <w:rsid w:val="289F43E5"/>
    <w:rsid w:val="28B77612"/>
    <w:rsid w:val="28BB465F"/>
    <w:rsid w:val="28DD5583"/>
    <w:rsid w:val="28EA0128"/>
    <w:rsid w:val="28EE3B49"/>
    <w:rsid w:val="28FF185C"/>
    <w:rsid w:val="29012269"/>
    <w:rsid w:val="290B3CDD"/>
    <w:rsid w:val="291451AB"/>
    <w:rsid w:val="29157417"/>
    <w:rsid w:val="291E50DC"/>
    <w:rsid w:val="29285E0F"/>
    <w:rsid w:val="29324D22"/>
    <w:rsid w:val="293D797A"/>
    <w:rsid w:val="29505C1F"/>
    <w:rsid w:val="29516A39"/>
    <w:rsid w:val="29590599"/>
    <w:rsid w:val="295D585C"/>
    <w:rsid w:val="29632CC6"/>
    <w:rsid w:val="297158AB"/>
    <w:rsid w:val="29807966"/>
    <w:rsid w:val="298714AD"/>
    <w:rsid w:val="29C02FCD"/>
    <w:rsid w:val="29C10231"/>
    <w:rsid w:val="29C63807"/>
    <w:rsid w:val="29D82305"/>
    <w:rsid w:val="29EB45D3"/>
    <w:rsid w:val="29F940E1"/>
    <w:rsid w:val="2A0312F6"/>
    <w:rsid w:val="2A07685B"/>
    <w:rsid w:val="2A2569D8"/>
    <w:rsid w:val="2A2F7528"/>
    <w:rsid w:val="2A392EFC"/>
    <w:rsid w:val="2A3E46F3"/>
    <w:rsid w:val="2A5338A7"/>
    <w:rsid w:val="2A7975D0"/>
    <w:rsid w:val="2A7B46D0"/>
    <w:rsid w:val="2A7E694A"/>
    <w:rsid w:val="2A7F12E2"/>
    <w:rsid w:val="2A88405F"/>
    <w:rsid w:val="2AC03F74"/>
    <w:rsid w:val="2ACD4D90"/>
    <w:rsid w:val="2ADC43C4"/>
    <w:rsid w:val="2AE07B98"/>
    <w:rsid w:val="2B0D7B3A"/>
    <w:rsid w:val="2B160173"/>
    <w:rsid w:val="2B17222B"/>
    <w:rsid w:val="2B1B36C2"/>
    <w:rsid w:val="2B262263"/>
    <w:rsid w:val="2B2D7A14"/>
    <w:rsid w:val="2B4701CA"/>
    <w:rsid w:val="2B62668E"/>
    <w:rsid w:val="2B7874BE"/>
    <w:rsid w:val="2B7A42C1"/>
    <w:rsid w:val="2B82668D"/>
    <w:rsid w:val="2B8F49BB"/>
    <w:rsid w:val="2BBA10FA"/>
    <w:rsid w:val="2BBF0C02"/>
    <w:rsid w:val="2BDD28EB"/>
    <w:rsid w:val="2BF43094"/>
    <w:rsid w:val="2BF909AA"/>
    <w:rsid w:val="2C0757B7"/>
    <w:rsid w:val="2C365068"/>
    <w:rsid w:val="2C4B5707"/>
    <w:rsid w:val="2C57786C"/>
    <w:rsid w:val="2C595430"/>
    <w:rsid w:val="2C660130"/>
    <w:rsid w:val="2C6B03A2"/>
    <w:rsid w:val="2C95017E"/>
    <w:rsid w:val="2C9B2015"/>
    <w:rsid w:val="2CA1010B"/>
    <w:rsid w:val="2CAE33C9"/>
    <w:rsid w:val="2CB9711D"/>
    <w:rsid w:val="2CD62921"/>
    <w:rsid w:val="2CF3363A"/>
    <w:rsid w:val="2D0009BD"/>
    <w:rsid w:val="2D000C25"/>
    <w:rsid w:val="2D0F4DB4"/>
    <w:rsid w:val="2D1F79A4"/>
    <w:rsid w:val="2D2D36A5"/>
    <w:rsid w:val="2D365B16"/>
    <w:rsid w:val="2D3D34A6"/>
    <w:rsid w:val="2D47011F"/>
    <w:rsid w:val="2D51670C"/>
    <w:rsid w:val="2D557C2D"/>
    <w:rsid w:val="2D5646DC"/>
    <w:rsid w:val="2D6D2070"/>
    <w:rsid w:val="2D9D0838"/>
    <w:rsid w:val="2DB652A4"/>
    <w:rsid w:val="2DB943B8"/>
    <w:rsid w:val="2DBB2419"/>
    <w:rsid w:val="2DBF7001"/>
    <w:rsid w:val="2DC26166"/>
    <w:rsid w:val="2DEA2F76"/>
    <w:rsid w:val="2DF041FF"/>
    <w:rsid w:val="2DF76E1B"/>
    <w:rsid w:val="2E0A69BF"/>
    <w:rsid w:val="2E0C1219"/>
    <w:rsid w:val="2E10357E"/>
    <w:rsid w:val="2E144C9C"/>
    <w:rsid w:val="2E177A17"/>
    <w:rsid w:val="2E1B30B3"/>
    <w:rsid w:val="2E1E59CA"/>
    <w:rsid w:val="2E3E487D"/>
    <w:rsid w:val="2E41360C"/>
    <w:rsid w:val="2E475DA4"/>
    <w:rsid w:val="2E607FBE"/>
    <w:rsid w:val="2E615CAF"/>
    <w:rsid w:val="2E64456A"/>
    <w:rsid w:val="2E7264C5"/>
    <w:rsid w:val="2E7653DE"/>
    <w:rsid w:val="2E784538"/>
    <w:rsid w:val="2E7B7058"/>
    <w:rsid w:val="2E842882"/>
    <w:rsid w:val="2E8C6A3D"/>
    <w:rsid w:val="2EB508B8"/>
    <w:rsid w:val="2EC45F4F"/>
    <w:rsid w:val="2ED06B9A"/>
    <w:rsid w:val="2ED71BB4"/>
    <w:rsid w:val="2EDB413D"/>
    <w:rsid w:val="2F04472C"/>
    <w:rsid w:val="2F066396"/>
    <w:rsid w:val="2F1835B8"/>
    <w:rsid w:val="2F184426"/>
    <w:rsid w:val="2F2655A5"/>
    <w:rsid w:val="2F2B2982"/>
    <w:rsid w:val="2F30138F"/>
    <w:rsid w:val="2F4B573E"/>
    <w:rsid w:val="2F5628C1"/>
    <w:rsid w:val="2F5A61EE"/>
    <w:rsid w:val="2F6E6218"/>
    <w:rsid w:val="2F81781A"/>
    <w:rsid w:val="2FBA6AB0"/>
    <w:rsid w:val="2FDA5233"/>
    <w:rsid w:val="2FDA56AD"/>
    <w:rsid w:val="2FDC3277"/>
    <w:rsid w:val="30091058"/>
    <w:rsid w:val="30186987"/>
    <w:rsid w:val="302E6035"/>
    <w:rsid w:val="30396B3B"/>
    <w:rsid w:val="303B5C37"/>
    <w:rsid w:val="303D3D8D"/>
    <w:rsid w:val="30410449"/>
    <w:rsid w:val="304B34C7"/>
    <w:rsid w:val="304F51A4"/>
    <w:rsid w:val="30687159"/>
    <w:rsid w:val="306F3884"/>
    <w:rsid w:val="307953E8"/>
    <w:rsid w:val="307B44AD"/>
    <w:rsid w:val="30907ADE"/>
    <w:rsid w:val="30926BF6"/>
    <w:rsid w:val="309A0DD7"/>
    <w:rsid w:val="309A76B3"/>
    <w:rsid w:val="30A61A4B"/>
    <w:rsid w:val="30AE1C64"/>
    <w:rsid w:val="30C02678"/>
    <w:rsid w:val="30D06AF0"/>
    <w:rsid w:val="30DC1248"/>
    <w:rsid w:val="30E16401"/>
    <w:rsid w:val="30F760DD"/>
    <w:rsid w:val="310500E0"/>
    <w:rsid w:val="31405015"/>
    <w:rsid w:val="31537EEC"/>
    <w:rsid w:val="315E7D16"/>
    <w:rsid w:val="316F0F32"/>
    <w:rsid w:val="31736100"/>
    <w:rsid w:val="31773981"/>
    <w:rsid w:val="3182709C"/>
    <w:rsid w:val="31842F7F"/>
    <w:rsid w:val="318A4231"/>
    <w:rsid w:val="318E2782"/>
    <w:rsid w:val="319C4759"/>
    <w:rsid w:val="319C6FC9"/>
    <w:rsid w:val="31EF357C"/>
    <w:rsid w:val="31FF09AE"/>
    <w:rsid w:val="3205097C"/>
    <w:rsid w:val="32081170"/>
    <w:rsid w:val="320C3878"/>
    <w:rsid w:val="32114E7D"/>
    <w:rsid w:val="3219245E"/>
    <w:rsid w:val="32257FD7"/>
    <w:rsid w:val="323677EC"/>
    <w:rsid w:val="323827BE"/>
    <w:rsid w:val="32495754"/>
    <w:rsid w:val="324B3D08"/>
    <w:rsid w:val="32502547"/>
    <w:rsid w:val="32541D1E"/>
    <w:rsid w:val="32595004"/>
    <w:rsid w:val="32605AA8"/>
    <w:rsid w:val="32615E04"/>
    <w:rsid w:val="326849A2"/>
    <w:rsid w:val="326B0F6E"/>
    <w:rsid w:val="328126D8"/>
    <w:rsid w:val="32996BB0"/>
    <w:rsid w:val="32A04DB4"/>
    <w:rsid w:val="32AD00CE"/>
    <w:rsid w:val="32B9541F"/>
    <w:rsid w:val="32BF1468"/>
    <w:rsid w:val="32D07FAA"/>
    <w:rsid w:val="32D40497"/>
    <w:rsid w:val="32DE0BF1"/>
    <w:rsid w:val="32E158F1"/>
    <w:rsid w:val="32E5677D"/>
    <w:rsid w:val="330301A0"/>
    <w:rsid w:val="33031007"/>
    <w:rsid w:val="330A1B9B"/>
    <w:rsid w:val="330C77B6"/>
    <w:rsid w:val="331A0228"/>
    <w:rsid w:val="332B32E7"/>
    <w:rsid w:val="33341058"/>
    <w:rsid w:val="333C4070"/>
    <w:rsid w:val="33652BA0"/>
    <w:rsid w:val="338032CF"/>
    <w:rsid w:val="33870D2A"/>
    <w:rsid w:val="33995B41"/>
    <w:rsid w:val="339F3BDD"/>
    <w:rsid w:val="33A54598"/>
    <w:rsid w:val="33A9773C"/>
    <w:rsid w:val="33E93AE7"/>
    <w:rsid w:val="33FB47B2"/>
    <w:rsid w:val="33FE062C"/>
    <w:rsid w:val="340D123D"/>
    <w:rsid w:val="340D402A"/>
    <w:rsid w:val="34117F4A"/>
    <w:rsid w:val="34157A69"/>
    <w:rsid w:val="341A32AC"/>
    <w:rsid w:val="342F04EE"/>
    <w:rsid w:val="343278F3"/>
    <w:rsid w:val="343773FE"/>
    <w:rsid w:val="344314AC"/>
    <w:rsid w:val="344352BB"/>
    <w:rsid w:val="345F13D2"/>
    <w:rsid w:val="346614E2"/>
    <w:rsid w:val="346F44E7"/>
    <w:rsid w:val="3477121B"/>
    <w:rsid w:val="348A07C0"/>
    <w:rsid w:val="349E74CF"/>
    <w:rsid w:val="34BC5B3B"/>
    <w:rsid w:val="34C33940"/>
    <w:rsid w:val="34CE5612"/>
    <w:rsid w:val="34D55580"/>
    <w:rsid w:val="34DA288E"/>
    <w:rsid w:val="34E07C21"/>
    <w:rsid w:val="34E11C57"/>
    <w:rsid w:val="34E43EEA"/>
    <w:rsid w:val="34F14865"/>
    <w:rsid w:val="34F445A8"/>
    <w:rsid w:val="34F47C15"/>
    <w:rsid w:val="34F540BD"/>
    <w:rsid w:val="34FF3C2C"/>
    <w:rsid w:val="35063B46"/>
    <w:rsid w:val="351C3CD0"/>
    <w:rsid w:val="352F1E92"/>
    <w:rsid w:val="353763F9"/>
    <w:rsid w:val="353B6682"/>
    <w:rsid w:val="353C79F3"/>
    <w:rsid w:val="353F5F9A"/>
    <w:rsid w:val="354D44F6"/>
    <w:rsid w:val="35600779"/>
    <w:rsid w:val="35645586"/>
    <w:rsid w:val="356B79DE"/>
    <w:rsid w:val="3581198D"/>
    <w:rsid w:val="35843E04"/>
    <w:rsid w:val="35866FAD"/>
    <w:rsid w:val="35976ED7"/>
    <w:rsid w:val="35980087"/>
    <w:rsid w:val="35B3142E"/>
    <w:rsid w:val="35B45E55"/>
    <w:rsid w:val="35B543C3"/>
    <w:rsid w:val="35B84DAB"/>
    <w:rsid w:val="35C52894"/>
    <w:rsid w:val="35E92FD2"/>
    <w:rsid w:val="35F036ED"/>
    <w:rsid w:val="35F11C61"/>
    <w:rsid w:val="35FB5BA7"/>
    <w:rsid w:val="36011523"/>
    <w:rsid w:val="36021E5F"/>
    <w:rsid w:val="36247A40"/>
    <w:rsid w:val="362A0DEB"/>
    <w:rsid w:val="36327AC4"/>
    <w:rsid w:val="3634601F"/>
    <w:rsid w:val="36496AF6"/>
    <w:rsid w:val="36547421"/>
    <w:rsid w:val="365A705F"/>
    <w:rsid w:val="367251E5"/>
    <w:rsid w:val="36903B9D"/>
    <w:rsid w:val="3696078B"/>
    <w:rsid w:val="369A723E"/>
    <w:rsid w:val="369C5F08"/>
    <w:rsid w:val="369E27EA"/>
    <w:rsid w:val="36C03B4D"/>
    <w:rsid w:val="36C301B0"/>
    <w:rsid w:val="36C40C39"/>
    <w:rsid w:val="36C95739"/>
    <w:rsid w:val="36D948F3"/>
    <w:rsid w:val="36DE6128"/>
    <w:rsid w:val="36E735CF"/>
    <w:rsid w:val="36FD0B04"/>
    <w:rsid w:val="370275A1"/>
    <w:rsid w:val="3717521E"/>
    <w:rsid w:val="37175E83"/>
    <w:rsid w:val="37215EFD"/>
    <w:rsid w:val="372E3F88"/>
    <w:rsid w:val="372F7F54"/>
    <w:rsid w:val="374754B1"/>
    <w:rsid w:val="374E45F3"/>
    <w:rsid w:val="375D3526"/>
    <w:rsid w:val="37624933"/>
    <w:rsid w:val="377870D5"/>
    <w:rsid w:val="378C7B63"/>
    <w:rsid w:val="379E4EC0"/>
    <w:rsid w:val="37A0093C"/>
    <w:rsid w:val="37A86561"/>
    <w:rsid w:val="37AC58D2"/>
    <w:rsid w:val="37AE7163"/>
    <w:rsid w:val="37C01AB5"/>
    <w:rsid w:val="37C409FA"/>
    <w:rsid w:val="37C8480D"/>
    <w:rsid w:val="37CB5E71"/>
    <w:rsid w:val="37EF4A8C"/>
    <w:rsid w:val="38107733"/>
    <w:rsid w:val="381200AE"/>
    <w:rsid w:val="3840510C"/>
    <w:rsid w:val="38525EC8"/>
    <w:rsid w:val="385C6D7B"/>
    <w:rsid w:val="385F25BB"/>
    <w:rsid w:val="386312E6"/>
    <w:rsid w:val="386609E8"/>
    <w:rsid w:val="387B2A25"/>
    <w:rsid w:val="38883DBF"/>
    <w:rsid w:val="38933FD6"/>
    <w:rsid w:val="389532F2"/>
    <w:rsid w:val="38A0575D"/>
    <w:rsid w:val="38B236B0"/>
    <w:rsid w:val="38B577A9"/>
    <w:rsid w:val="38B74C05"/>
    <w:rsid w:val="38CC421D"/>
    <w:rsid w:val="38D16635"/>
    <w:rsid w:val="38D373E7"/>
    <w:rsid w:val="38F53835"/>
    <w:rsid w:val="38FA57F0"/>
    <w:rsid w:val="390E100A"/>
    <w:rsid w:val="3936186D"/>
    <w:rsid w:val="393B6729"/>
    <w:rsid w:val="3941349E"/>
    <w:rsid w:val="39514E0B"/>
    <w:rsid w:val="39566F53"/>
    <w:rsid w:val="395941C6"/>
    <w:rsid w:val="397905D6"/>
    <w:rsid w:val="3986126F"/>
    <w:rsid w:val="39864DE3"/>
    <w:rsid w:val="39883EA5"/>
    <w:rsid w:val="399D5638"/>
    <w:rsid w:val="39B41C18"/>
    <w:rsid w:val="39B653E7"/>
    <w:rsid w:val="39B85B57"/>
    <w:rsid w:val="39C538F9"/>
    <w:rsid w:val="39C828C6"/>
    <w:rsid w:val="39D31839"/>
    <w:rsid w:val="39D51F97"/>
    <w:rsid w:val="39D7425E"/>
    <w:rsid w:val="39E76BD3"/>
    <w:rsid w:val="3A0B3CA2"/>
    <w:rsid w:val="3A255D6F"/>
    <w:rsid w:val="3A291776"/>
    <w:rsid w:val="3A4215EC"/>
    <w:rsid w:val="3A43382A"/>
    <w:rsid w:val="3A472CE0"/>
    <w:rsid w:val="3A4B4D4F"/>
    <w:rsid w:val="3A51108A"/>
    <w:rsid w:val="3A5C2A31"/>
    <w:rsid w:val="3A604CCB"/>
    <w:rsid w:val="3A6711EA"/>
    <w:rsid w:val="3A671BFD"/>
    <w:rsid w:val="3A6B021B"/>
    <w:rsid w:val="3A6C27C7"/>
    <w:rsid w:val="3A795855"/>
    <w:rsid w:val="3A7D78F3"/>
    <w:rsid w:val="3A7E7CFE"/>
    <w:rsid w:val="3A816547"/>
    <w:rsid w:val="3AB03D58"/>
    <w:rsid w:val="3AD049E5"/>
    <w:rsid w:val="3AF31112"/>
    <w:rsid w:val="3AF71C4F"/>
    <w:rsid w:val="3B081792"/>
    <w:rsid w:val="3B0C28E2"/>
    <w:rsid w:val="3B211160"/>
    <w:rsid w:val="3B325752"/>
    <w:rsid w:val="3B352723"/>
    <w:rsid w:val="3B373B06"/>
    <w:rsid w:val="3B38435F"/>
    <w:rsid w:val="3B4113F9"/>
    <w:rsid w:val="3B4607AB"/>
    <w:rsid w:val="3B5A14DA"/>
    <w:rsid w:val="3B5B2A34"/>
    <w:rsid w:val="3B696D3C"/>
    <w:rsid w:val="3B6E2308"/>
    <w:rsid w:val="3B700B9E"/>
    <w:rsid w:val="3B7A70C3"/>
    <w:rsid w:val="3B7C5190"/>
    <w:rsid w:val="3B8C568A"/>
    <w:rsid w:val="3B8C6B52"/>
    <w:rsid w:val="3B9265F7"/>
    <w:rsid w:val="3BA24F6A"/>
    <w:rsid w:val="3BB36501"/>
    <w:rsid w:val="3BBA1B6C"/>
    <w:rsid w:val="3BC10F8A"/>
    <w:rsid w:val="3BCA0430"/>
    <w:rsid w:val="3BCA46DA"/>
    <w:rsid w:val="3C0B517A"/>
    <w:rsid w:val="3C0D7BA2"/>
    <w:rsid w:val="3C1464E6"/>
    <w:rsid w:val="3C1F3B0A"/>
    <w:rsid w:val="3C205B8C"/>
    <w:rsid w:val="3C2B04DC"/>
    <w:rsid w:val="3C2F5079"/>
    <w:rsid w:val="3C4B63F8"/>
    <w:rsid w:val="3C7C5EFC"/>
    <w:rsid w:val="3C820BF8"/>
    <w:rsid w:val="3C9D78A4"/>
    <w:rsid w:val="3CAC12EC"/>
    <w:rsid w:val="3CB974FB"/>
    <w:rsid w:val="3CD46E85"/>
    <w:rsid w:val="3CE21B20"/>
    <w:rsid w:val="3CFF2A56"/>
    <w:rsid w:val="3D0538C6"/>
    <w:rsid w:val="3D083C3D"/>
    <w:rsid w:val="3D0F0BF5"/>
    <w:rsid w:val="3D254DA7"/>
    <w:rsid w:val="3D367754"/>
    <w:rsid w:val="3D43371B"/>
    <w:rsid w:val="3D4C353F"/>
    <w:rsid w:val="3D4D01FD"/>
    <w:rsid w:val="3D533FE2"/>
    <w:rsid w:val="3D8116F1"/>
    <w:rsid w:val="3D842DB5"/>
    <w:rsid w:val="3D927E3F"/>
    <w:rsid w:val="3D99342D"/>
    <w:rsid w:val="3D9D6E8A"/>
    <w:rsid w:val="3DB623DC"/>
    <w:rsid w:val="3DBC2131"/>
    <w:rsid w:val="3DD03BFA"/>
    <w:rsid w:val="3DD76D85"/>
    <w:rsid w:val="3DD83ABF"/>
    <w:rsid w:val="3DDA437C"/>
    <w:rsid w:val="3DEE4CC1"/>
    <w:rsid w:val="3DF461A3"/>
    <w:rsid w:val="3DF94195"/>
    <w:rsid w:val="3E012B6B"/>
    <w:rsid w:val="3E0B6234"/>
    <w:rsid w:val="3E1516BF"/>
    <w:rsid w:val="3E211CFD"/>
    <w:rsid w:val="3E535C24"/>
    <w:rsid w:val="3E600BB4"/>
    <w:rsid w:val="3E8A2129"/>
    <w:rsid w:val="3E8C3990"/>
    <w:rsid w:val="3E917B3F"/>
    <w:rsid w:val="3ECD5D56"/>
    <w:rsid w:val="3ECD79B7"/>
    <w:rsid w:val="3ED72492"/>
    <w:rsid w:val="3EDA4D3F"/>
    <w:rsid w:val="3EED7085"/>
    <w:rsid w:val="3EFA21FA"/>
    <w:rsid w:val="3F0651F8"/>
    <w:rsid w:val="3F0B745A"/>
    <w:rsid w:val="3F1708AB"/>
    <w:rsid w:val="3F1A7616"/>
    <w:rsid w:val="3F305658"/>
    <w:rsid w:val="3F4C1C29"/>
    <w:rsid w:val="3F545C32"/>
    <w:rsid w:val="3F8A3D39"/>
    <w:rsid w:val="3F8D0174"/>
    <w:rsid w:val="3F966B9F"/>
    <w:rsid w:val="3F987717"/>
    <w:rsid w:val="3FA55C83"/>
    <w:rsid w:val="3FC551B7"/>
    <w:rsid w:val="3FC92BDE"/>
    <w:rsid w:val="3FD23300"/>
    <w:rsid w:val="3FF47042"/>
    <w:rsid w:val="3FF54785"/>
    <w:rsid w:val="3FFB4326"/>
    <w:rsid w:val="3FFC0AB7"/>
    <w:rsid w:val="3FFF0B26"/>
    <w:rsid w:val="4015659C"/>
    <w:rsid w:val="401D268F"/>
    <w:rsid w:val="40327B82"/>
    <w:rsid w:val="403D5DB4"/>
    <w:rsid w:val="40444047"/>
    <w:rsid w:val="40452250"/>
    <w:rsid w:val="404D460E"/>
    <w:rsid w:val="40501155"/>
    <w:rsid w:val="405229A9"/>
    <w:rsid w:val="405C35C7"/>
    <w:rsid w:val="407E4D25"/>
    <w:rsid w:val="409E45E2"/>
    <w:rsid w:val="40A52125"/>
    <w:rsid w:val="40B61FF8"/>
    <w:rsid w:val="40BB734D"/>
    <w:rsid w:val="40BD43A8"/>
    <w:rsid w:val="40BD702F"/>
    <w:rsid w:val="40C40C6F"/>
    <w:rsid w:val="40C7171A"/>
    <w:rsid w:val="40CD4E0B"/>
    <w:rsid w:val="40D2023E"/>
    <w:rsid w:val="40D724A1"/>
    <w:rsid w:val="40DD614D"/>
    <w:rsid w:val="40E72D37"/>
    <w:rsid w:val="40FE6CAA"/>
    <w:rsid w:val="411C7865"/>
    <w:rsid w:val="411D4155"/>
    <w:rsid w:val="412A1DFC"/>
    <w:rsid w:val="414141BA"/>
    <w:rsid w:val="415A1391"/>
    <w:rsid w:val="415E5B0A"/>
    <w:rsid w:val="418B295F"/>
    <w:rsid w:val="41945CF4"/>
    <w:rsid w:val="41965A41"/>
    <w:rsid w:val="41970D49"/>
    <w:rsid w:val="41B92A4F"/>
    <w:rsid w:val="41C964B4"/>
    <w:rsid w:val="41F92ABD"/>
    <w:rsid w:val="41FC1B6A"/>
    <w:rsid w:val="41FF2BF3"/>
    <w:rsid w:val="42125B2B"/>
    <w:rsid w:val="424D1C7F"/>
    <w:rsid w:val="425846A6"/>
    <w:rsid w:val="42624E34"/>
    <w:rsid w:val="427F218F"/>
    <w:rsid w:val="42840AD6"/>
    <w:rsid w:val="428B63CF"/>
    <w:rsid w:val="42911805"/>
    <w:rsid w:val="429A2964"/>
    <w:rsid w:val="42AF67D0"/>
    <w:rsid w:val="42BC0E70"/>
    <w:rsid w:val="42C245CE"/>
    <w:rsid w:val="42C27D1A"/>
    <w:rsid w:val="42C80ECA"/>
    <w:rsid w:val="42DD0E52"/>
    <w:rsid w:val="42DD3CD5"/>
    <w:rsid w:val="43055EB8"/>
    <w:rsid w:val="431627BC"/>
    <w:rsid w:val="431A0C24"/>
    <w:rsid w:val="431A5591"/>
    <w:rsid w:val="431B1E13"/>
    <w:rsid w:val="432F1853"/>
    <w:rsid w:val="43312904"/>
    <w:rsid w:val="43376426"/>
    <w:rsid w:val="434E1C20"/>
    <w:rsid w:val="43620283"/>
    <w:rsid w:val="4363286E"/>
    <w:rsid w:val="436928BF"/>
    <w:rsid w:val="4370065F"/>
    <w:rsid w:val="43963A25"/>
    <w:rsid w:val="4398403A"/>
    <w:rsid w:val="43A73BE3"/>
    <w:rsid w:val="43AE7A7E"/>
    <w:rsid w:val="43B470F6"/>
    <w:rsid w:val="43CF502D"/>
    <w:rsid w:val="43CF6F11"/>
    <w:rsid w:val="43DF5027"/>
    <w:rsid w:val="43F047E0"/>
    <w:rsid w:val="43FD6F00"/>
    <w:rsid w:val="440B02B4"/>
    <w:rsid w:val="441C5080"/>
    <w:rsid w:val="44233849"/>
    <w:rsid w:val="445B0426"/>
    <w:rsid w:val="44633603"/>
    <w:rsid w:val="44680AA6"/>
    <w:rsid w:val="446B500C"/>
    <w:rsid w:val="446E17AC"/>
    <w:rsid w:val="448508DF"/>
    <w:rsid w:val="448D7707"/>
    <w:rsid w:val="44A6656A"/>
    <w:rsid w:val="44BA3544"/>
    <w:rsid w:val="44BF18A2"/>
    <w:rsid w:val="44C345DC"/>
    <w:rsid w:val="44CE2123"/>
    <w:rsid w:val="44E23735"/>
    <w:rsid w:val="44EA77F7"/>
    <w:rsid w:val="45142C62"/>
    <w:rsid w:val="45357785"/>
    <w:rsid w:val="45387766"/>
    <w:rsid w:val="453A760F"/>
    <w:rsid w:val="453B3627"/>
    <w:rsid w:val="45461B58"/>
    <w:rsid w:val="45491A3E"/>
    <w:rsid w:val="45503B28"/>
    <w:rsid w:val="45620AD7"/>
    <w:rsid w:val="45853082"/>
    <w:rsid w:val="45891F3C"/>
    <w:rsid w:val="4590274A"/>
    <w:rsid w:val="45B276B2"/>
    <w:rsid w:val="45C0276F"/>
    <w:rsid w:val="45C14774"/>
    <w:rsid w:val="45DB6A4C"/>
    <w:rsid w:val="45DE4D7D"/>
    <w:rsid w:val="45EF2628"/>
    <w:rsid w:val="45EF3C1C"/>
    <w:rsid w:val="45FD0891"/>
    <w:rsid w:val="460C7309"/>
    <w:rsid w:val="46185D52"/>
    <w:rsid w:val="461D0E0F"/>
    <w:rsid w:val="462C285E"/>
    <w:rsid w:val="462E09E1"/>
    <w:rsid w:val="4639249F"/>
    <w:rsid w:val="463A0304"/>
    <w:rsid w:val="46483274"/>
    <w:rsid w:val="46497341"/>
    <w:rsid w:val="464A4975"/>
    <w:rsid w:val="465961E8"/>
    <w:rsid w:val="467C2D95"/>
    <w:rsid w:val="4695468D"/>
    <w:rsid w:val="469A6A31"/>
    <w:rsid w:val="46D95B7D"/>
    <w:rsid w:val="471553B4"/>
    <w:rsid w:val="47170524"/>
    <w:rsid w:val="471E6457"/>
    <w:rsid w:val="474C2F9B"/>
    <w:rsid w:val="475D0FD8"/>
    <w:rsid w:val="475F6267"/>
    <w:rsid w:val="4760207C"/>
    <w:rsid w:val="47743C9D"/>
    <w:rsid w:val="477F20C3"/>
    <w:rsid w:val="47906F17"/>
    <w:rsid w:val="47962F99"/>
    <w:rsid w:val="479A7A31"/>
    <w:rsid w:val="479B1699"/>
    <w:rsid w:val="47AA2928"/>
    <w:rsid w:val="47AF51BF"/>
    <w:rsid w:val="47B81E12"/>
    <w:rsid w:val="47BE42FB"/>
    <w:rsid w:val="47C87B80"/>
    <w:rsid w:val="47C937E9"/>
    <w:rsid w:val="47C97066"/>
    <w:rsid w:val="47D03B18"/>
    <w:rsid w:val="47DB1D58"/>
    <w:rsid w:val="47ED29D3"/>
    <w:rsid w:val="47EF74A3"/>
    <w:rsid w:val="47F50C9B"/>
    <w:rsid w:val="48047968"/>
    <w:rsid w:val="480C0327"/>
    <w:rsid w:val="48100B65"/>
    <w:rsid w:val="4834394A"/>
    <w:rsid w:val="484B1470"/>
    <w:rsid w:val="485A65F3"/>
    <w:rsid w:val="48654955"/>
    <w:rsid w:val="48812277"/>
    <w:rsid w:val="488C20FF"/>
    <w:rsid w:val="48987720"/>
    <w:rsid w:val="48AA0D47"/>
    <w:rsid w:val="48AB437A"/>
    <w:rsid w:val="48BB5E99"/>
    <w:rsid w:val="48CB567F"/>
    <w:rsid w:val="48E709AB"/>
    <w:rsid w:val="49074129"/>
    <w:rsid w:val="491E413A"/>
    <w:rsid w:val="492B5D1A"/>
    <w:rsid w:val="492E0653"/>
    <w:rsid w:val="49356195"/>
    <w:rsid w:val="493E72F4"/>
    <w:rsid w:val="49477CA3"/>
    <w:rsid w:val="4950278B"/>
    <w:rsid w:val="495D4FB7"/>
    <w:rsid w:val="495E6CC9"/>
    <w:rsid w:val="495F0F47"/>
    <w:rsid w:val="497378EC"/>
    <w:rsid w:val="49850611"/>
    <w:rsid w:val="499E6A18"/>
    <w:rsid w:val="49CA6D55"/>
    <w:rsid w:val="49D60BB0"/>
    <w:rsid w:val="49E47F0A"/>
    <w:rsid w:val="49FA45E7"/>
    <w:rsid w:val="4A003BBD"/>
    <w:rsid w:val="4A021D46"/>
    <w:rsid w:val="4A221E06"/>
    <w:rsid w:val="4A2C05A1"/>
    <w:rsid w:val="4A487A49"/>
    <w:rsid w:val="4A573BC6"/>
    <w:rsid w:val="4A661827"/>
    <w:rsid w:val="4A685CDC"/>
    <w:rsid w:val="4A6C7442"/>
    <w:rsid w:val="4A6E5FE8"/>
    <w:rsid w:val="4A794A5A"/>
    <w:rsid w:val="4A8D326D"/>
    <w:rsid w:val="4AAC7675"/>
    <w:rsid w:val="4ABB4EEC"/>
    <w:rsid w:val="4ABE4002"/>
    <w:rsid w:val="4AD3789D"/>
    <w:rsid w:val="4AE61558"/>
    <w:rsid w:val="4AE629A4"/>
    <w:rsid w:val="4AE71746"/>
    <w:rsid w:val="4AED326F"/>
    <w:rsid w:val="4AF93679"/>
    <w:rsid w:val="4B021885"/>
    <w:rsid w:val="4B0462D8"/>
    <w:rsid w:val="4B1163B5"/>
    <w:rsid w:val="4B1E0386"/>
    <w:rsid w:val="4B2A725A"/>
    <w:rsid w:val="4B2D27E3"/>
    <w:rsid w:val="4B327DA5"/>
    <w:rsid w:val="4B483ECE"/>
    <w:rsid w:val="4B4D5DE5"/>
    <w:rsid w:val="4B53713F"/>
    <w:rsid w:val="4B58385A"/>
    <w:rsid w:val="4B5918B4"/>
    <w:rsid w:val="4B5E178B"/>
    <w:rsid w:val="4B7D53C9"/>
    <w:rsid w:val="4B7E695E"/>
    <w:rsid w:val="4B85293F"/>
    <w:rsid w:val="4B8C7452"/>
    <w:rsid w:val="4B902502"/>
    <w:rsid w:val="4B9B344B"/>
    <w:rsid w:val="4BA41F5F"/>
    <w:rsid w:val="4BAA16FB"/>
    <w:rsid w:val="4BBE2F08"/>
    <w:rsid w:val="4BD56E97"/>
    <w:rsid w:val="4BDB55FA"/>
    <w:rsid w:val="4BF55F0B"/>
    <w:rsid w:val="4BF74ED8"/>
    <w:rsid w:val="4BFA030B"/>
    <w:rsid w:val="4C09252B"/>
    <w:rsid w:val="4C1713D3"/>
    <w:rsid w:val="4C3D55C6"/>
    <w:rsid w:val="4C427E43"/>
    <w:rsid w:val="4C4F261E"/>
    <w:rsid w:val="4C5962D9"/>
    <w:rsid w:val="4C5C6507"/>
    <w:rsid w:val="4C667A5B"/>
    <w:rsid w:val="4C687F40"/>
    <w:rsid w:val="4C823BCA"/>
    <w:rsid w:val="4C8A7DE1"/>
    <w:rsid w:val="4C9F1330"/>
    <w:rsid w:val="4CAB3457"/>
    <w:rsid w:val="4CE266C3"/>
    <w:rsid w:val="4CEF017B"/>
    <w:rsid w:val="4CF124C7"/>
    <w:rsid w:val="4CF70170"/>
    <w:rsid w:val="4CFA619E"/>
    <w:rsid w:val="4CFD777A"/>
    <w:rsid w:val="4D201110"/>
    <w:rsid w:val="4D3431C7"/>
    <w:rsid w:val="4D3A38EE"/>
    <w:rsid w:val="4D3F69A4"/>
    <w:rsid w:val="4D526F59"/>
    <w:rsid w:val="4D650150"/>
    <w:rsid w:val="4D6E11CA"/>
    <w:rsid w:val="4DA653F2"/>
    <w:rsid w:val="4DCC74BE"/>
    <w:rsid w:val="4DE03AC2"/>
    <w:rsid w:val="4DEF02BD"/>
    <w:rsid w:val="4DF03991"/>
    <w:rsid w:val="4DF221E2"/>
    <w:rsid w:val="4E002256"/>
    <w:rsid w:val="4E0911A0"/>
    <w:rsid w:val="4E0D72D8"/>
    <w:rsid w:val="4E1F24C4"/>
    <w:rsid w:val="4E2F0959"/>
    <w:rsid w:val="4E383ED6"/>
    <w:rsid w:val="4E5172B9"/>
    <w:rsid w:val="4E560D60"/>
    <w:rsid w:val="4E564593"/>
    <w:rsid w:val="4E5A2684"/>
    <w:rsid w:val="4E703F51"/>
    <w:rsid w:val="4E905710"/>
    <w:rsid w:val="4E942C0A"/>
    <w:rsid w:val="4E98220D"/>
    <w:rsid w:val="4EA02FF7"/>
    <w:rsid w:val="4EB7399D"/>
    <w:rsid w:val="4ECD2716"/>
    <w:rsid w:val="4ED96B17"/>
    <w:rsid w:val="4EDA695D"/>
    <w:rsid w:val="4EE05B39"/>
    <w:rsid w:val="4EE54AFA"/>
    <w:rsid w:val="4EE73AF5"/>
    <w:rsid w:val="4EE84EA5"/>
    <w:rsid w:val="4EEE4AF5"/>
    <w:rsid w:val="4EF82E0F"/>
    <w:rsid w:val="4F0B544D"/>
    <w:rsid w:val="4F1E4B12"/>
    <w:rsid w:val="4F301FB1"/>
    <w:rsid w:val="4F3A2B02"/>
    <w:rsid w:val="4F4F7329"/>
    <w:rsid w:val="4F5260B5"/>
    <w:rsid w:val="4F58224C"/>
    <w:rsid w:val="4F590A64"/>
    <w:rsid w:val="4F5A4045"/>
    <w:rsid w:val="4F5A7FFE"/>
    <w:rsid w:val="4F86143C"/>
    <w:rsid w:val="4F8B2726"/>
    <w:rsid w:val="4F8B4457"/>
    <w:rsid w:val="4F96196F"/>
    <w:rsid w:val="4FAE7560"/>
    <w:rsid w:val="4FB8672C"/>
    <w:rsid w:val="4FDA01F8"/>
    <w:rsid w:val="4FF1201A"/>
    <w:rsid w:val="4FF221C3"/>
    <w:rsid w:val="4FFA0634"/>
    <w:rsid w:val="500032A2"/>
    <w:rsid w:val="504C31A7"/>
    <w:rsid w:val="504E08AD"/>
    <w:rsid w:val="505C4D01"/>
    <w:rsid w:val="50654763"/>
    <w:rsid w:val="50664937"/>
    <w:rsid w:val="507419FE"/>
    <w:rsid w:val="507C7DBC"/>
    <w:rsid w:val="508A7F4D"/>
    <w:rsid w:val="508B1CA1"/>
    <w:rsid w:val="50A568E9"/>
    <w:rsid w:val="50AA168D"/>
    <w:rsid w:val="50AF4B30"/>
    <w:rsid w:val="50BC5CDC"/>
    <w:rsid w:val="50E74C38"/>
    <w:rsid w:val="50E76F7B"/>
    <w:rsid w:val="50EB303A"/>
    <w:rsid w:val="51025571"/>
    <w:rsid w:val="510819A0"/>
    <w:rsid w:val="51141BF6"/>
    <w:rsid w:val="51184A15"/>
    <w:rsid w:val="511D1BC3"/>
    <w:rsid w:val="51200E5F"/>
    <w:rsid w:val="5123009E"/>
    <w:rsid w:val="512548E9"/>
    <w:rsid w:val="512C2CA7"/>
    <w:rsid w:val="512D289E"/>
    <w:rsid w:val="514152FB"/>
    <w:rsid w:val="51434ED1"/>
    <w:rsid w:val="51606C08"/>
    <w:rsid w:val="516445A0"/>
    <w:rsid w:val="51752B27"/>
    <w:rsid w:val="518353A4"/>
    <w:rsid w:val="518956A9"/>
    <w:rsid w:val="519F6ACE"/>
    <w:rsid w:val="51C83642"/>
    <w:rsid w:val="51CF7B42"/>
    <w:rsid w:val="51DC0DF8"/>
    <w:rsid w:val="51DC3B47"/>
    <w:rsid w:val="52204D59"/>
    <w:rsid w:val="52490C2A"/>
    <w:rsid w:val="525505B5"/>
    <w:rsid w:val="52551CD7"/>
    <w:rsid w:val="5261544F"/>
    <w:rsid w:val="52675FFF"/>
    <w:rsid w:val="52B97B3D"/>
    <w:rsid w:val="52C504FB"/>
    <w:rsid w:val="52D50B77"/>
    <w:rsid w:val="52E13756"/>
    <w:rsid w:val="52E65840"/>
    <w:rsid w:val="52EF5C2D"/>
    <w:rsid w:val="52EF6429"/>
    <w:rsid w:val="52F061A9"/>
    <w:rsid w:val="52F171FD"/>
    <w:rsid w:val="52F47582"/>
    <w:rsid w:val="53354D0B"/>
    <w:rsid w:val="5371534A"/>
    <w:rsid w:val="53720C63"/>
    <w:rsid w:val="53760DD8"/>
    <w:rsid w:val="537700D3"/>
    <w:rsid w:val="53811681"/>
    <w:rsid w:val="538A520F"/>
    <w:rsid w:val="538C6CFB"/>
    <w:rsid w:val="53933E3F"/>
    <w:rsid w:val="53B418CC"/>
    <w:rsid w:val="53E421E6"/>
    <w:rsid w:val="53F32910"/>
    <w:rsid w:val="53F4098D"/>
    <w:rsid w:val="53FE04C8"/>
    <w:rsid w:val="540A36E6"/>
    <w:rsid w:val="540A49FF"/>
    <w:rsid w:val="54196F14"/>
    <w:rsid w:val="541F2E71"/>
    <w:rsid w:val="54206BE2"/>
    <w:rsid w:val="54297BB6"/>
    <w:rsid w:val="542A438F"/>
    <w:rsid w:val="54336DD4"/>
    <w:rsid w:val="543660C2"/>
    <w:rsid w:val="54375971"/>
    <w:rsid w:val="54453F00"/>
    <w:rsid w:val="544B34F5"/>
    <w:rsid w:val="544D196D"/>
    <w:rsid w:val="5478326E"/>
    <w:rsid w:val="547F6951"/>
    <w:rsid w:val="54854CE2"/>
    <w:rsid w:val="548965FC"/>
    <w:rsid w:val="549F015A"/>
    <w:rsid w:val="54AD1A5F"/>
    <w:rsid w:val="54AF4755"/>
    <w:rsid w:val="54C761C0"/>
    <w:rsid w:val="54D730B0"/>
    <w:rsid w:val="54DD1143"/>
    <w:rsid w:val="54E812EA"/>
    <w:rsid w:val="54F741A9"/>
    <w:rsid w:val="54F76B5C"/>
    <w:rsid w:val="55020A87"/>
    <w:rsid w:val="550341FE"/>
    <w:rsid w:val="55042014"/>
    <w:rsid w:val="550F1760"/>
    <w:rsid w:val="55210479"/>
    <w:rsid w:val="552A209A"/>
    <w:rsid w:val="55330F3B"/>
    <w:rsid w:val="55393BB8"/>
    <w:rsid w:val="55597050"/>
    <w:rsid w:val="55614C5E"/>
    <w:rsid w:val="556E6918"/>
    <w:rsid w:val="558C2621"/>
    <w:rsid w:val="55A0462E"/>
    <w:rsid w:val="55AA319D"/>
    <w:rsid w:val="55AD3652"/>
    <w:rsid w:val="55AE7B86"/>
    <w:rsid w:val="55B9606B"/>
    <w:rsid w:val="55DE0E54"/>
    <w:rsid w:val="55E20903"/>
    <w:rsid w:val="55E4027B"/>
    <w:rsid w:val="55E72AA0"/>
    <w:rsid w:val="55FF52A6"/>
    <w:rsid w:val="56061751"/>
    <w:rsid w:val="56095584"/>
    <w:rsid w:val="560E0C77"/>
    <w:rsid w:val="5633198E"/>
    <w:rsid w:val="563E5469"/>
    <w:rsid w:val="565F37E0"/>
    <w:rsid w:val="56600CBF"/>
    <w:rsid w:val="566755F7"/>
    <w:rsid w:val="56681618"/>
    <w:rsid w:val="566919C6"/>
    <w:rsid w:val="566C5546"/>
    <w:rsid w:val="567026EE"/>
    <w:rsid w:val="56745BC9"/>
    <w:rsid w:val="56CF2CD9"/>
    <w:rsid w:val="56CF2CF8"/>
    <w:rsid w:val="56D50BC3"/>
    <w:rsid w:val="56E34EAC"/>
    <w:rsid w:val="570203D1"/>
    <w:rsid w:val="571159E3"/>
    <w:rsid w:val="571D3ABE"/>
    <w:rsid w:val="571F6B78"/>
    <w:rsid w:val="57503DCA"/>
    <w:rsid w:val="57535899"/>
    <w:rsid w:val="57645BA3"/>
    <w:rsid w:val="576A1B6C"/>
    <w:rsid w:val="57791B8E"/>
    <w:rsid w:val="5790678A"/>
    <w:rsid w:val="57936854"/>
    <w:rsid w:val="579848F6"/>
    <w:rsid w:val="57A22474"/>
    <w:rsid w:val="57AF0A2B"/>
    <w:rsid w:val="57BD64A8"/>
    <w:rsid w:val="57C023F1"/>
    <w:rsid w:val="57C14981"/>
    <w:rsid w:val="57C43A36"/>
    <w:rsid w:val="57CA4EFA"/>
    <w:rsid w:val="57D97A34"/>
    <w:rsid w:val="57F62116"/>
    <w:rsid w:val="58101705"/>
    <w:rsid w:val="58335AD6"/>
    <w:rsid w:val="583D18B3"/>
    <w:rsid w:val="584265A5"/>
    <w:rsid w:val="58463AA4"/>
    <w:rsid w:val="584B27B3"/>
    <w:rsid w:val="58705777"/>
    <w:rsid w:val="58707FAE"/>
    <w:rsid w:val="58895B35"/>
    <w:rsid w:val="58B93305"/>
    <w:rsid w:val="58C83D7C"/>
    <w:rsid w:val="58D50625"/>
    <w:rsid w:val="58E7744A"/>
    <w:rsid w:val="58FE099B"/>
    <w:rsid w:val="5909370D"/>
    <w:rsid w:val="590B71FB"/>
    <w:rsid w:val="590D48EB"/>
    <w:rsid w:val="591079E9"/>
    <w:rsid w:val="591F6282"/>
    <w:rsid w:val="59422514"/>
    <w:rsid w:val="59495353"/>
    <w:rsid w:val="595034F8"/>
    <w:rsid w:val="595D2922"/>
    <w:rsid w:val="59634E7E"/>
    <w:rsid w:val="597265E6"/>
    <w:rsid w:val="5973088E"/>
    <w:rsid w:val="59A85569"/>
    <w:rsid w:val="59A90DF6"/>
    <w:rsid w:val="59B8686F"/>
    <w:rsid w:val="59B86AAB"/>
    <w:rsid w:val="59BF5B8E"/>
    <w:rsid w:val="59D027D3"/>
    <w:rsid w:val="59DE0C7A"/>
    <w:rsid w:val="59E56D7C"/>
    <w:rsid w:val="59E974BE"/>
    <w:rsid w:val="59F04D56"/>
    <w:rsid w:val="59F23350"/>
    <w:rsid w:val="5A125C89"/>
    <w:rsid w:val="5A126729"/>
    <w:rsid w:val="5A1B211E"/>
    <w:rsid w:val="5A1C4D0F"/>
    <w:rsid w:val="5A4F7A61"/>
    <w:rsid w:val="5A647D5B"/>
    <w:rsid w:val="5A730419"/>
    <w:rsid w:val="5A991C8F"/>
    <w:rsid w:val="5AA026B8"/>
    <w:rsid w:val="5AA116D7"/>
    <w:rsid w:val="5AB321D6"/>
    <w:rsid w:val="5AB42CEF"/>
    <w:rsid w:val="5AB74F92"/>
    <w:rsid w:val="5ACB49E4"/>
    <w:rsid w:val="5ACC4B5A"/>
    <w:rsid w:val="5ACF398D"/>
    <w:rsid w:val="5AE821DA"/>
    <w:rsid w:val="5AED557F"/>
    <w:rsid w:val="5AFD1904"/>
    <w:rsid w:val="5B0123E0"/>
    <w:rsid w:val="5B073454"/>
    <w:rsid w:val="5B20452B"/>
    <w:rsid w:val="5B2C0607"/>
    <w:rsid w:val="5B3034F1"/>
    <w:rsid w:val="5B424CC5"/>
    <w:rsid w:val="5B473097"/>
    <w:rsid w:val="5B63362E"/>
    <w:rsid w:val="5B731A53"/>
    <w:rsid w:val="5B755268"/>
    <w:rsid w:val="5B787102"/>
    <w:rsid w:val="5B79544A"/>
    <w:rsid w:val="5B9C2FC5"/>
    <w:rsid w:val="5BBC1172"/>
    <w:rsid w:val="5BC86521"/>
    <w:rsid w:val="5BCD3EA4"/>
    <w:rsid w:val="5C082709"/>
    <w:rsid w:val="5C14060C"/>
    <w:rsid w:val="5C2E582C"/>
    <w:rsid w:val="5C305498"/>
    <w:rsid w:val="5C372998"/>
    <w:rsid w:val="5C5A282E"/>
    <w:rsid w:val="5C7639BC"/>
    <w:rsid w:val="5C81534B"/>
    <w:rsid w:val="5C8C0864"/>
    <w:rsid w:val="5C907A9B"/>
    <w:rsid w:val="5C9A11AC"/>
    <w:rsid w:val="5CA65278"/>
    <w:rsid w:val="5CA80B46"/>
    <w:rsid w:val="5CBC6260"/>
    <w:rsid w:val="5CCC12AD"/>
    <w:rsid w:val="5CD12F06"/>
    <w:rsid w:val="5CD41448"/>
    <w:rsid w:val="5CE74FA9"/>
    <w:rsid w:val="5CF7084F"/>
    <w:rsid w:val="5D147937"/>
    <w:rsid w:val="5D1634FA"/>
    <w:rsid w:val="5D2040EF"/>
    <w:rsid w:val="5D3321D2"/>
    <w:rsid w:val="5D447125"/>
    <w:rsid w:val="5D614E5A"/>
    <w:rsid w:val="5D6F0EA6"/>
    <w:rsid w:val="5D7A4EBD"/>
    <w:rsid w:val="5D7B2AFB"/>
    <w:rsid w:val="5D8C5C75"/>
    <w:rsid w:val="5D916123"/>
    <w:rsid w:val="5D9D4948"/>
    <w:rsid w:val="5DA07441"/>
    <w:rsid w:val="5DAB4981"/>
    <w:rsid w:val="5DAF2ED6"/>
    <w:rsid w:val="5DCD5EDE"/>
    <w:rsid w:val="5DDD01B0"/>
    <w:rsid w:val="5DE31BF8"/>
    <w:rsid w:val="5DEE4FE1"/>
    <w:rsid w:val="5DEE7E4B"/>
    <w:rsid w:val="5DF434DB"/>
    <w:rsid w:val="5E040F9B"/>
    <w:rsid w:val="5E163DAD"/>
    <w:rsid w:val="5E18199F"/>
    <w:rsid w:val="5E276BBA"/>
    <w:rsid w:val="5E4A34BA"/>
    <w:rsid w:val="5E555E36"/>
    <w:rsid w:val="5E572B7B"/>
    <w:rsid w:val="5E715DE0"/>
    <w:rsid w:val="5E817F26"/>
    <w:rsid w:val="5EA248D0"/>
    <w:rsid w:val="5EC875D4"/>
    <w:rsid w:val="5ED929BD"/>
    <w:rsid w:val="5EEF44C3"/>
    <w:rsid w:val="5EF64B87"/>
    <w:rsid w:val="5EFE24CD"/>
    <w:rsid w:val="5EFE5752"/>
    <w:rsid w:val="5F1E02ED"/>
    <w:rsid w:val="5F5335CE"/>
    <w:rsid w:val="5F6123D2"/>
    <w:rsid w:val="5F7C6175"/>
    <w:rsid w:val="5F8C113D"/>
    <w:rsid w:val="5F9F1D72"/>
    <w:rsid w:val="5FA41C29"/>
    <w:rsid w:val="5FB55859"/>
    <w:rsid w:val="5FB74AC7"/>
    <w:rsid w:val="5FD1415C"/>
    <w:rsid w:val="5FDA5184"/>
    <w:rsid w:val="5FEE6A48"/>
    <w:rsid w:val="5FF46772"/>
    <w:rsid w:val="6028198E"/>
    <w:rsid w:val="602A2D2E"/>
    <w:rsid w:val="6060214E"/>
    <w:rsid w:val="6071387E"/>
    <w:rsid w:val="607207D7"/>
    <w:rsid w:val="607A75EB"/>
    <w:rsid w:val="60932B78"/>
    <w:rsid w:val="60B1182C"/>
    <w:rsid w:val="60B54E5F"/>
    <w:rsid w:val="60D67EB5"/>
    <w:rsid w:val="60E72435"/>
    <w:rsid w:val="60F12408"/>
    <w:rsid w:val="60F53DE8"/>
    <w:rsid w:val="60F915AE"/>
    <w:rsid w:val="61186844"/>
    <w:rsid w:val="61196AEE"/>
    <w:rsid w:val="612015DC"/>
    <w:rsid w:val="61202565"/>
    <w:rsid w:val="61386C42"/>
    <w:rsid w:val="613D3456"/>
    <w:rsid w:val="6161246C"/>
    <w:rsid w:val="616A09B6"/>
    <w:rsid w:val="617A09D3"/>
    <w:rsid w:val="617E2BD9"/>
    <w:rsid w:val="617E4052"/>
    <w:rsid w:val="61894B41"/>
    <w:rsid w:val="61A02A4C"/>
    <w:rsid w:val="61AB7F4F"/>
    <w:rsid w:val="61B7640D"/>
    <w:rsid w:val="61BA3500"/>
    <w:rsid w:val="61BC7327"/>
    <w:rsid w:val="61DE2022"/>
    <w:rsid w:val="61F12BA4"/>
    <w:rsid w:val="61F1712C"/>
    <w:rsid w:val="61FC795F"/>
    <w:rsid w:val="61FE4473"/>
    <w:rsid w:val="622A0453"/>
    <w:rsid w:val="62421C3F"/>
    <w:rsid w:val="62554D7B"/>
    <w:rsid w:val="626339C2"/>
    <w:rsid w:val="627F361F"/>
    <w:rsid w:val="62870321"/>
    <w:rsid w:val="62892F39"/>
    <w:rsid w:val="62923CFF"/>
    <w:rsid w:val="62A52639"/>
    <w:rsid w:val="62A75796"/>
    <w:rsid w:val="62C313EC"/>
    <w:rsid w:val="62D2532D"/>
    <w:rsid w:val="62D32926"/>
    <w:rsid w:val="62EB1C80"/>
    <w:rsid w:val="62F64459"/>
    <w:rsid w:val="62F76E32"/>
    <w:rsid w:val="6306529F"/>
    <w:rsid w:val="63243088"/>
    <w:rsid w:val="632B7CB6"/>
    <w:rsid w:val="632D6A8C"/>
    <w:rsid w:val="63326075"/>
    <w:rsid w:val="63577595"/>
    <w:rsid w:val="635953C4"/>
    <w:rsid w:val="636203F5"/>
    <w:rsid w:val="636D1281"/>
    <w:rsid w:val="636F05B2"/>
    <w:rsid w:val="638B05E2"/>
    <w:rsid w:val="63921C8F"/>
    <w:rsid w:val="639E2FFF"/>
    <w:rsid w:val="63B35481"/>
    <w:rsid w:val="63C546CA"/>
    <w:rsid w:val="63C73189"/>
    <w:rsid w:val="63C80685"/>
    <w:rsid w:val="63D27A4E"/>
    <w:rsid w:val="63D43500"/>
    <w:rsid w:val="641B128B"/>
    <w:rsid w:val="642518C9"/>
    <w:rsid w:val="642628D8"/>
    <w:rsid w:val="643353CE"/>
    <w:rsid w:val="64463885"/>
    <w:rsid w:val="645573E6"/>
    <w:rsid w:val="646C6942"/>
    <w:rsid w:val="646D325D"/>
    <w:rsid w:val="648101EB"/>
    <w:rsid w:val="64857D65"/>
    <w:rsid w:val="648A5198"/>
    <w:rsid w:val="64BB3691"/>
    <w:rsid w:val="64C649E5"/>
    <w:rsid w:val="64C971FC"/>
    <w:rsid w:val="64CC1BEF"/>
    <w:rsid w:val="64D17A33"/>
    <w:rsid w:val="64DB0DE6"/>
    <w:rsid w:val="65192F42"/>
    <w:rsid w:val="651C413F"/>
    <w:rsid w:val="651F176C"/>
    <w:rsid w:val="652354FE"/>
    <w:rsid w:val="65243799"/>
    <w:rsid w:val="652A1A23"/>
    <w:rsid w:val="652F0DE7"/>
    <w:rsid w:val="653730AD"/>
    <w:rsid w:val="65473BE4"/>
    <w:rsid w:val="654823B1"/>
    <w:rsid w:val="655D3F53"/>
    <w:rsid w:val="655E1C0E"/>
    <w:rsid w:val="65833318"/>
    <w:rsid w:val="658B7760"/>
    <w:rsid w:val="659514FA"/>
    <w:rsid w:val="659F4A38"/>
    <w:rsid w:val="65B4203E"/>
    <w:rsid w:val="65C562C1"/>
    <w:rsid w:val="65DA30E2"/>
    <w:rsid w:val="65E419EA"/>
    <w:rsid w:val="65EC5F5D"/>
    <w:rsid w:val="65ED6121"/>
    <w:rsid w:val="65EE7177"/>
    <w:rsid w:val="660D737A"/>
    <w:rsid w:val="6635457B"/>
    <w:rsid w:val="663743A7"/>
    <w:rsid w:val="663B78CC"/>
    <w:rsid w:val="664C4D93"/>
    <w:rsid w:val="66645598"/>
    <w:rsid w:val="66713242"/>
    <w:rsid w:val="66915BCA"/>
    <w:rsid w:val="66A57E71"/>
    <w:rsid w:val="66A76320"/>
    <w:rsid w:val="66BD4460"/>
    <w:rsid w:val="66BD4681"/>
    <w:rsid w:val="66D37DBF"/>
    <w:rsid w:val="66D47A94"/>
    <w:rsid w:val="66D82ABA"/>
    <w:rsid w:val="66E4759D"/>
    <w:rsid w:val="67080774"/>
    <w:rsid w:val="67126F49"/>
    <w:rsid w:val="67195D19"/>
    <w:rsid w:val="672361E3"/>
    <w:rsid w:val="673212A8"/>
    <w:rsid w:val="67485617"/>
    <w:rsid w:val="674B4F4A"/>
    <w:rsid w:val="67586F6C"/>
    <w:rsid w:val="67625F8A"/>
    <w:rsid w:val="676A3DA6"/>
    <w:rsid w:val="67773A51"/>
    <w:rsid w:val="67835FB2"/>
    <w:rsid w:val="679805D8"/>
    <w:rsid w:val="67A46064"/>
    <w:rsid w:val="67A46EF4"/>
    <w:rsid w:val="67B16006"/>
    <w:rsid w:val="67BC3FEE"/>
    <w:rsid w:val="67C77CC2"/>
    <w:rsid w:val="67CA7544"/>
    <w:rsid w:val="67CF598F"/>
    <w:rsid w:val="67D477F8"/>
    <w:rsid w:val="67DA1F38"/>
    <w:rsid w:val="67E118CD"/>
    <w:rsid w:val="67FF7C3A"/>
    <w:rsid w:val="68052609"/>
    <w:rsid w:val="681E1B1C"/>
    <w:rsid w:val="6829477F"/>
    <w:rsid w:val="682A1883"/>
    <w:rsid w:val="682F4FA9"/>
    <w:rsid w:val="68323C50"/>
    <w:rsid w:val="686332F5"/>
    <w:rsid w:val="68646588"/>
    <w:rsid w:val="68743ACA"/>
    <w:rsid w:val="687E7334"/>
    <w:rsid w:val="688232C2"/>
    <w:rsid w:val="68843A78"/>
    <w:rsid w:val="6892155A"/>
    <w:rsid w:val="689F0599"/>
    <w:rsid w:val="68B43376"/>
    <w:rsid w:val="68EE3897"/>
    <w:rsid w:val="68F053F6"/>
    <w:rsid w:val="68F43A1E"/>
    <w:rsid w:val="69145603"/>
    <w:rsid w:val="69184B75"/>
    <w:rsid w:val="69423186"/>
    <w:rsid w:val="6942555E"/>
    <w:rsid w:val="69432BE1"/>
    <w:rsid w:val="69492E1D"/>
    <w:rsid w:val="694A3C5C"/>
    <w:rsid w:val="694D728A"/>
    <w:rsid w:val="69832373"/>
    <w:rsid w:val="6988057F"/>
    <w:rsid w:val="699906A2"/>
    <w:rsid w:val="69AC12C2"/>
    <w:rsid w:val="69C411D0"/>
    <w:rsid w:val="69C62FFA"/>
    <w:rsid w:val="69D86C6D"/>
    <w:rsid w:val="69FA48D7"/>
    <w:rsid w:val="6A0D6DC9"/>
    <w:rsid w:val="6A341444"/>
    <w:rsid w:val="6A4A19BA"/>
    <w:rsid w:val="6A564EBF"/>
    <w:rsid w:val="6A582B8E"/>
    <w:rsid w:val="6A645FFB"/>
    <w:rsid w:val="6A6A2D90"/>
    <w:rsid w:val="6A701056"/>
    <w:rsid w:val="6A7A24EF"/>
    <w:rsid w:val="6A7B6932"/>
    <w:rsid w:val="6A7E361E"/>
    <w:rsid w:val="6A890DC5"/>
    <w:rsid w:val="6A8F3951"/>
    <w:rsid w:val="6A9A2282"/>
    <w:rsid w:val="6AAD6C66"/>
    <w:rsid w:val="6ABB292C"/>
    <w:rsid w:val="6AC46CE5"/>
    <w:rsid w:val="6ACD0D45"/>
    <w:rsid w:val="6ACF043E"/>
    <w:rsid w:val="6AD028DF"/>
    <w:rsid w:val="6AD9743D"/>
    <w:rsid w:val="6AF6368D"/>
    <w:rsid w:val="6AFE0C80"/>
    <w:rsid w:val="6B040407"/>
    <w:rsid w:val="6B055F08"/>
    <w:rsid w:val="6B083506"/>
    <w:rsid w:val="6B2873C2"/>
    <w:rsid w:val="6B2A0779"/>
    <w:rsid w:val="6B2B1D80"/>
    <w:rsid w:val="6B3111D5"/>
    <w:rsid w:val="6B3D3548"/>
    <w:rsid w:val="6B664EB6"/>
    <w:rsid w:val="6B6B0A44"/>
    <w:rsid w:val="6B936A01"/>
    <w:rsid w:val="6B947E09"/>
    <w:rsid w:val="6BA87D31"/>
    <w:rsid w:val="6BB72998"/>
    <w:rsid w:val="6BBC73BD"/>
    <w:rsid w:val="6BC066B1"/>
    <w:rsid w:val="6BD42604"/>
    <w:rsid w:val="6BE85BF1"/>
    <w:rsid w:val="6C033227"/>
    <w:rsid w:val="6C0B1660"/>
    <w:rsid w:val="6C133DDF"/>
    <w:rsid w:val="6C320084"/>
    <w:rsid w:val="6C391CC7"/>
    <w:rsid w:val="6C430889"/>
    <w:rsid w:val="6C533915"/>
    <w:rsid w:val="6C7F31BE"/>
    <w:rsid w:val="6C8071BA"/>
    <w:rsid w:val="6CBB7007"/>
    <w:rsid w:val="6CD91C0E"/>
    <w:rsid w:val="6CE01353"/>
    <w:rsid w:val="6CE176B9"/>
    <w:rsid w:val="6CEA7AAC"/>
    <w:rsid w:val="6CF00414"/>
    <w:rsid w:val="6CF02816"/>
    <w:rsid w:val="6CF35CFC"/>
    <w:rsid w:val="6CFA25E1"/>
    <w:rsid w:val="6D1030E8"/>
    <w:rsid w:val="6D2747F1"/>
    <w:rsid w:val="6D3F29A1"/>
    <w:rsid w:val="6D4149C8"/>
    <w:rsid w:val="6D544DC6"/>
    <w:rsid w:val="6D5D09E7"/>
    <w:rsid w:val="6D651DF3"/>
    <w:rsid w:val="6D7C57FB"/>
    <w:rsid w:val="6D9E263C"/>
    <w:rsid w:val="6D9E6AFC"/>
    <w:rsid w:val="6DD658EE"/>
    <w:rsid w:val="6DDD6E36"/>
    <w:rsid w:val="6DE276B3"/>
    <w:rsid w:val="6DE4548A"/>
    <w:rsid w:val="6DE714B6"/>
    <w:rsid w:val="6DEC1C21"/>
    <w:rsid w:val="6E0F1FEB"/>
    <w:rsid w:val="6E152319"/>
    <w:rsid w:val="6E155346"/>
    <w:rsid w:val="6E200829"/>
    <w:rsid w:val="6E3A7BFC"/>
    <w:rsid w:val="6E3B0BAF"/>
    <w:rsid w:val="6E3E0629"/>
    <w:rsid w:val="6E4E3E08"/>
    <w:rsid w:val="6E501AEB"/>
    <w:rsid w:val="6E7C11B5"/>
    <w:rsid w:val="6E7F556F"/>
    <w:rsid w:val="6E8C2E06"/>
    <w:rsid w:val="6E997C25"/>
    <w:rsid w:val="6E9C165A"/>
    <w:rsid w:val="6E9F07E1"/>
    <w:rsid w:val="6EA14A30"/>
    <w:rsid w:val="6EB6105A"/>
    <w:rsid w:val="6EC46D49"/>
    <w:rsid w:val="6EC629FF"/>
    <w:rsid w:val="6EC7282F"/>
    <w:rsid w:val="6ECA6C00"/>
    <w:rsid w:val="6F1C104C"/>
    <w:rsid w:val="6F26499B"/>
    <w:rsid w:val="6F2B25A1"/>
    <w:rsid w:val="6F2D024C"/>
    <w:rsid w:val="6F2D277B"/>
    <w:rsid w:val="6F2F3282"/>
    <w:rsid w:val="6F3F60CB"/>
    <w:rsid w:val="6F587A8E"/>
    <w:rsid w:val="6F5A7044"/>
    <w:rsid w:val="6F5D5506"/>
    <w:rsid w:val="6F600C59"/>
    <w:rsid w:val="6F703F1B"/>
    <w:rsid w:val="6F7E2770"/>
    <w:rsid w:val="6F8776A7"/>
    <w:rsid w:val="6F957D21"/>
    <w:rsid w:val="6F9A1B5B"/>
    <w:rsid w:val="6FA57C2A"/>
    <w:rsid w:val="6FC22E70"/>
    <w:rsid w:val="6FD175F7"/>
    <w:rsid w:val="6FD95378"/>
    <w:rsid w:val="6FF47B92"/>
    <w:rsid w:val="6FFD1488"/>
    <w:rsid w:val="700B44C9"/>
    <w:rsid w:val="70115CB9"/>
    <w:rsid w:val="70173431"/>
    <w:rsid w:val="703C1CAA"/>
    <w:rsid w:val="703E1108"/>
    <w:rsid w:val="70460ECD"/>
    <w:rsid w:val="704B7EBD"/>
    <w:rsid w:val="7051053C"/>
    <w:rsid w:val="707F7FC1"/>
    <w:rsid w:val="70830694"/>
    <w:rsid w:val="7092075C"/>
    <w:rsid w:val="70A16710"/>
    <w:rsid w:val="70AF49AD"/>
    <w:rsid w:val="70B14136"/>
    <w:rsid w:val="70CC6CCD"/>
    <w:rsid w:val="70E234A9"/>
    <w:rsid w:val="70E51433"/>
    <w:rsid w:val="70FC24C5"/>
    <w:rsid w:val="71081951"/>
    <w:rsid w:val="710C10AD"/>
    <w:rsid w:val="71195FA1"/>
    <w:rsid w:val="711F23C1"/>
    <w:rsid w:val="71252C8F"/>
    <w:rsid w:val="712D7A96"/>
    <w:rsid w:val="71334F8E"/>
    <w:rsid w:val="713954C7"/>
    <w:rsid w:val="713C2BF3"/>
    <w:rsid w:val="715517E0"/>
    <w:rsid w:val="715D55F4"/>
    <w:rsid w:val="71647A80"/>
    <w:rsid w:val="71682CDB"/>
    <w:rsid w:val="716D1C68"/>
    <w:rsid w:val="717C301D"/>
    <w:rsid w:val="718D2B25"/>
    <w:rsid w:val="71AC3CA8"/>
    <w:rsid w:val="71B24D30"/>
    <w:rsid w:val="71E67530"/>
    <w:rsid w:val="71F552A8"/>
    <w:rsid w:val="71FA60A3"/>
    <w:rsid w:val="71FD3369"/>
    <w:rsid w:val="7208350E"/>
    <w:rsid w:val="72142600"/>
    <w:rsid w:val="72264502"/>
    <w:rsid w:val="723358B2"/>
    <w:rsid w:val="72347B51"/>
    <w:rsid w:val="72356228"/>
    <w:rsid w:val="72363B93"/>
    <w:rsid w:val="72366F69"/>
    <w:rsid w:val="72546CCC"/>
    <w:rsid w:val="72571A57"/>
    <w:rsid w:val="7269077B"/>
    <w:rsid w:val="727F0C00"/>
    <w:rsid w:val="72981E43"/>
    <w:rsid w:val="729C3060"/>
    <w:rsid w:val="72AD5CE4"/>
    <w:rsid w:val="72BB344D"/>
    <w:rsid w:val="72BD396A"/>
    <w:rsid w:val="72E77D45"/>
    <w:rsid w:val="72EA334F"/>
    <w:rsid w:val="730440C9"/>
    <w:rsid w:val="730B241D"/>
    <w:rsid w:val="73100E1C"/>
    <w:rsid w:val="73225EEC"/>
    <w:rsid w:val="73236EBA"/>
    <w:rsid w:val="73242532"/>
    <w:rsid w:val="73480C9F"/>
    <w:rsid w:val="734C24BD"/>
    <w:rsid w:val="7356298F"/>
    <w:rsid w:val="7357002D"/>
    <w:rsid w:val="73576104"/>
    <w:rsid w:val="735A6C44"/>
    <w:rsid w:val="73764F03"/>
    <w:rsid w:val="73815738"/>
    <w:rsid w:val="73927989"/>
    <w:rsid w:val="739F3A97"/>
    <w:rsid w:val="73AF1694"/>
    <w:rsid w:val="73B673EF"/>
    <w:rsid w:val="73C8277D"/>
    <w:rsid w:val="73CE2AF2"/>
    <w:rsid w:val="73EF07B7"/>
    <w:rsid w:val="73F02366"/>
    <w:rsid w:val="73F07FEE"/>
    <w:rsid w:val="74057A07"/>
    <w:rsid w:val="742254DD"/>
    <w:rsid w:val="7437180D"/>
    <w:rsid w:val="74391D4B"/>
    <w:rsid w:val="74483CFE"/>
    <w:rsid w:val="744B0DA7"/>
    <w:rsid w:val="744D3074"/>
    <w:rsid w:val="74624CC6"/>
    <w:rsid w:val="746A5AD3"/>
    <w:rsid w:val="74723306"/>
    <w:rsid w:val="747A2CC8"/>
    <w:rsid w:val="747F3641"/>
    <w:rsid w:val="74B579B7"/>
    <w:rsid w:val="74B71E9C"/>
    <w:rsid w:val="74BB7061"/>
    <w:rsid w:val="74CE3EB2"/>
    <w:rsid w:val="74DB340A"/>
    <w:rsid w:val="74E82D21"/>
    <w:rsid w:val="750D23D7"/>
    <w:rsid w:val="750E03C1"/>
    <w:rsid w:val="751C6251"/>
    <w:rsid w:val="751E470B"/>
    <w:rsid w:val="753D7B6A"/>
    <w:rsid w:val="754026A2"/>
    <w:rsid w:val="754301AD"/>
    <w:rsid w:val="754E2F08"/>
    <w:rsid w:val="75500735"/>
    <w:rsid w:val="75670772"/>
    <w:rsid w:val="75671A3D"/>
    <w:rsid w:val="757C44C8"/>
    <w:rsid w:val="75961C87"/>
    <w:rsid w:val="759A09C5"/>
    <w:rsid w:val="75A6427E"/>
    <w:rsid w:val="75AF7DF9"/>
    <w:rsid w:val="75B243A7"/>
    <w:rsid w:val="75DE6DB1"/>
    <w:rsid w:val="75E16ABB"/>
    <w:rsid w:val="75E572CF"/>
    <w:rsid w:val="75FB07A2"/>
    <w:rsid w:val="75FF02E6"/>
    <w:rsid w:val="76046317"/>
    <w:rsid w:val="760617CC"/>
    <w:rsid w:val="761375E4"/>
    <w:rsid w:val="76217478"/>
    <w:rsid w:val="763C572C"/>
    <w:rsid w:val="7666354F"/>
    <w:rsid w:val="766B6ECD"/>
    <w:rsid w:val="767470B0"/>
    <w:rsid w:val="767E397C"/>
    <w:rsid w:val="76855EB9"/>
    <w:rsid w:val="7692691E"/>
    <w:rsid w:val="76996365"/>
    <w:rsid w:val="769A10D0"/>
    <w:rsid w:val="76C2349E"/>
    <w:rsid w:val="76CB35EC"/>
    <w:rsid w:val="76D054CE"/>
    <w:rsid w:val="76D10C55"/>
    <w:rsid w:val="76D276DD"/>
    <w:rsid w:val="76D85DAB"/>
    <w:rsid w:val="76EA2D88"/>
    <w:rsid w:val="76FC5ECA"/>
    <w:rsid w:val="77040C67"/>
    <w:rsid w:val="770C2851"/>
    <w:rsid w:val="773B587C"/>
    <w:rsid w:val="773F6299"/>
    <w:rsid w:val="77416C82"/>
    <w:rsid w:val="774271F2"/>
    <w:rsid w:val="77453760"/>
    <w:rsid w:val="77473689"/>
    <w:rsid w:val="77640DC4"/>
    <w:rsid w:val="77653D55"/>
    <w:rsid w:val="776A7D9F"/>
    <w:rsid w:val="77734AD9"/>
    <w:rsid w:val="77767106"/>
    <w:rsid w:val="77786FD4"/>
    <w:rsid w:val="77A954AE"/>
    <w:rsid w:val="77AB2363"/>
    <w:rsid w:val="77D71742"/>
    <w:rsid w:val="77E342D7"/>
    <w:rsid w:val="77F3466D"/>
    <w:rsid w:val="780127F5"/>
    <w:rsid w:val="7822274B"/>
    <w:rsid w:val="7840608D"/>
    <w:rsid w:val="78494C44"/>
    <w:rsid w:val="78594455"/>
    <w:rsid w:val="785A03C2"/>
    <w:rsid w:val="78786AB3"/>
    <w:rsid w:val="787D7B01"/>
    <w:rsid w:val="78927153"/>
    <w:rsid w:val="78970591"/>
    <w:rsid w:val="789C0A5C"/>
    <w:rsid w:val="78B065B0"/>
    <w:rsid w:val="78BD4113"/>
    <w:rsid w:val="78C33E4A"/>
    <w:rsid w:val="78F10DB2"/>
    <w:rsid w:val="7901119D"/>
    <w:rsid w:val="790177E9"/>
    <w:rsid w:val="790D3EA5"/>
    <w:rsid w:val="79106B12"/>
    <w:rsid w:val="791B2495"/>
    <w:rsid w:val="791D2A50"/>
    <w:rsid w:val="791E4915"/>
    <w:rsid w:val="79366F18"/>
    <w:rsid w:val="793E022D"/>
    <w:rsid w:val="793E56AD"/>
    <w:rsid w:val="79432736"/>
    <w:rsid w:val="79505D65"/>
    <w:rsid w:val="79660E81"/>
    <w:rsid w:val="797940FE"/>
    <w:rsid w:val="79866E7E"/>
    <w:rsid w:val="798A6A50"/>
    <w:rsid w:val="799A7341"/>
    <w:rsid w:val="79AA4A14"/>
    <w:rsid w:val="79AD792E"/>
    <w:rsid w:val="79B63FC9"/>
    <w:rsid w:val="79C16BC7"/>
    <w:rsid w:val="79C21E49"/>
    <w:rsid w:val="79C673FA"/>
    <w:rsid w:val="79DE02DD"/>
    <w:rsid w:val="79E07E40"/>
    <w:rsid w:val="79E13C8B"/>
    <w:rsid w:val="79EB5D1B"/>
    <w:rsid w:val="79FC6182"/>
    <w:rsid w:val="7A0A0885"/>
    <w:rsid w:val="7A0A6F4F"/>
    <w:rsid w:val="7A1D2D65"/>
    <w:rsid w:val="7A2E0A35"/>
    <w:rsid w:val="7A456F6D"/>
    <w:rsid w:val="7A526C88"/>
    <w:rsid w:val="7A5705CE"/>
    <w:rsid w:val="7A5D27C6"/>
    <w:rsid w:val="7A5F16CA"/>
    <w:rsid w:val="7A68409A"/>
    <w:rsid w:val="7A710D8E"/>
    <w:rsid w:val="7AB1300F"/>
    <w:rsid w:val="7AB45E26"/>
    <w:rsid w:val="7AB64E52"/>
    <w:rsid w:val="7ADA0EA4"/>
    <w:rsid w:val="7AE75FBC"/>
    <w:rsid w:val="7AFB6746"/>
    <w:rsid w:val="7AFC56DC"/>
    <w:rsid w:val="7B0D3216"/>
    <w:rsid w:val="7B345398"/>
    <w:rsid w:val="7B355131"/>
    <w:rsid w:val="7B590C27"/>
    <w:rsid w:val="7B6B24CD"/>
    <w:rsid w:val="7B6C5EAB"/>
    <w:rsid w:val="7B7814A8"/>
    <w:rsid w:val="7B814DD3"/>
    <w:rsid w:val="7B861DF2"/>
    <w:rsid w:val="7B864059"/>
    <w:rsid w:val="7B874BE4"/>
    <w:rsid w:val="7BA33013"/>
    <w:rsid w:val="7BB97642"/>
    <w:rsid w:val="7BF702E8"/>
    <w:rsid w:val="7BFA0FA5"/>
    <w:rsid w:val="7BFE2BF5"/>
    <w:rsid w:val="7C162A9E"/>
    <w:rsid w:val="7C177BEA"/>
    <w:rsid w:val="7C1908EC"/>
    <w:rsid w:val="7C206AB7"/>
    <w:rsid w:val="7C647A61"/>
    <w:rsid w:val="7C7B2256"/>
    <w:rsid w:val="7C8646F6"/>
    <w:rsid w:val="7C886A69"/>
    <w:rsid w:val="7C8F6150"/>
    <w:rsid w:val="7C9B11F5"/>
    <w:rsid w:val="7C9B46D0"/>
    <w:rsid w:val="7CA37E05"/>
    <w:rsid w:val="7CA95B93"/>
    <w:rsid w:val="7CBC0850"/>
    <w:rsid w:val="7CBC5897"/>
    <w:rsid w:val="7CD3681B"/>
    <w:rsid w:val="7CF20DD2"/>
    <w:rsid w:val="7CFF7134"/>
    <w:rsid w:val="7D1D1FC6"/>
    <w:rsid w:val="7D28646B"/>
    <w:rsid w:val="7D2D300E"/>
    <w:rsid w:val="7D4714AF"/>
    <w:rsid w:val="7D476185"/>
    <w:rsid w:val="7D7016BE"/>
    <w:rsid w:val="7D8603E2"/>
    <w:rsid w:val="7D9B3D45"/>
    <w:rsid w:val="7D9C553A"/>
    <w:rsid w:val="7DBB346B"/>
    <w:rsid w:val="7DD0508B"/>
    <w:rsid w:val="7DE4119D"/>
    <w:rsid w:val="7DEE5B58"/>
    <w:rsid w:val="7DEF4E30"/>
    <w:rsid w:val="7E0B1390"/>
    <w:rsid w:val="7E2B13AE"/>
    <w:rsid w:val="7E676A56"/>
    <w:rsid w:val="7E690FF4"/>
    <w:rsid w:val="7E947A7E"/>
    <w:rsid w:val="7ED03245"/>
    <w:rsid w:val="7ED25E9B"/>
    <w:rsid w:val="7ED37D6E"/>
    <w:rsid w:val="7F0A51A4"/>
    <w:rsid w:val="7F1A0C40"/>
    <w:rsid w:val="7F332C78"/>
    <w:rsid w:val="7F3F5D11"/>
    <w:rsid w:val="7F486A87"/>
    <w:rsid w:val="7F7D2EBD"/>
    <w:rsid w:val="7F8846F0"/>
    <w:rsid w:val="7FA36CA7"/>
    <w:rsid w:val="7FAD2052"/>
    <w:rsid w:val="7FD34F08"/>
    <w:rsid w:val="7FD51EFD"/>
    <w:rsid w:val="7FE04F3E"/>
    <w:rsid w:val="7FEA3B6F"/>
    <w:rsid w:val="BAFFAB79"/>
    <w:rsid w:val="DBEED555"/>
  </w:rsids>
  <m:mathPr>
    <m:brkBin m:val="before"/>
    <m:brkBinSub m:val="--"/>
    <m:smallFrac m:val="0"/>
    <m:dispDef/>
    <m:lMargin m:val="0"/>
    <m:rMargin m:val="0"/>
    <m:defJc m:val="centerGroup"/>
    <m:wrapIndent m:val="1440"/>
    <m:intLim m:val="subSup"/>
    <m:naryLim m:val="undOvr"/>
  </m:mathPr>
  <w:themeFontLang w:val="zh-CN" w:eastAsia="zh-CN" w:bidi="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1" w:semiHidden="0" w:name="heading 1"/>
    <w:lsdException w:qFormat="1" w:unhideWhenUsed="0" w:uiPriority="1" w:semiHidden="0" w:name="heading 2"/>
    <w:lsdException w:qFormat="1" w:unhideWhenUsed="0" w:uiPriority="1" w:semiHidden="0" w:name="heading 3"/>
    <w:lsdException w:qFormat="1" w:unhideWhenUsed="0" w:uiPriority="1" w:semiHidden="0" w:name="heading 4"/>
    <w:lsdException w:qFormat="1" w:unhideWhenUsed="0" w:uiPriority="1"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suppressAutoHyphens/>
      <w:bidi w:val="0"/>
      <w:spacing w:before="0" w:after="0"/>
      <w:jc w:val="left"/>
    </w:pPr>
    <w:rPr>
      <w:rFonts w:ascii="Arial Unicode MS" w:hAnsi="Arial Unicode MS" w:eastAsia="Arial Unicode MS" w:cs="Arial Unicode MS"/>
      <w:color w:val="auto"/>
      <w:kern w:val="0"/>
      <w:sz w:val="22"/>
      <w:szCs w:val="22"/>
      <w:lang w:val="zh-CN" w:eastAsia="zh-CN" w:bidi="zh-CN"/>
    </w:rPr>
  </w:style>
  <w:style w:type="paragraph" w:styleId="2">
    <w:name w:val="heading 1"/>
    <w:basedOn w:val="1"/>
    <w:next w:val="1"/>
    <w:qFormat/>
    <w:uiPriority w:val="1"/>
    <w:pPr>
      <w:ind w:left="-40" w:firstLine="0"/>
      <w:outlineLvl w:val="0"/>
    </w:pPr>
    <w:rPr>
      <w:sz w:val="52"/>
      <w:szCs w:val="52"/>
    </w:rPr>
  </w:style>
  <w:style w:type="paragraph" w:styleId="3">
    <w:name w:val="heading 2"/>
    <w:basedOn w:val="1"/>
    <w:next w:val="1"/>
    <w:qFormat/>
    <w:uiPriority w:val="1"/>
    <w:pPr>
      <w:ind w:right="18" w:firstLine="0"/>
      <w:jc w:val="center"/>
      <w:outlineLvl w:val="1"/>
    </w:pPr>
    <w:rPr>
      <w:sz w:val="44"/>
      <w:szCs w:val="44"/>
    </w:rPr>
  </w:style>
  <w:style w:type="paragraph" w:styleId="4">
    <w:name w:val="heading 3"/>
    <w:basedOn w:val="1"/>
    <w:next w:val="1"/>
    <w:qFormat/>
    <w:uiPriority w:val="1"/>
    <w:pPr>
      <w:ind w:left="1" w:firstLine="0"/>
      <w:jc w:val="center"/>
      <w:outlineLvl w:val="2"/>
    </w:pPr>
    <w:rPr>
      <w:sz w:val="40"/>
      <w:szCs w:val="40"/>
    </w:rPr>
  </w:style>
  <w:style w:type="paragraph" w:styleId="5">
    <w:name w:val="heading 4"/>
    <w:basedOn w:val="1"/>
    <w:next w:val="1"/>
    <w:qFormat/>
    <w:uiPriority w:val="1"/>
    <w:pPr>
      <w:jc w:val="center"/>
      <w:outlineLvl w:val="3"/>
    </w:pPr>
    <w:rPr>
      <w:sz w:val="36"/>
      <w:szCs w:val="36"/>
    </w:rPr>
  </w:style>
  <w:style w:type="paragraph" w:styleId="6">
    <w:name w:val="heading 5"/>
    <w:basedOn w:val="1"/>
    <w:next w:val="1"/>
    <w:qFormat/>
    <w:uiPriority w:val="1"/>
    <w:pPr>
      <w:ind w:left="112" w:firstLine="0"/>
      <w:outlineLvl w:val="4"/>
    </w:pPr>
    <w:rPr>
      <w:sz w:val="33"/>
      <w:szCs w:val="33"/>
    </w:rPr>
  </w:style>
  <w:style w:type="character" w:default="1" w:styleId="14">
    <w:name w:val="Default Paragraph Font"/>
    <w:unhideWhenUsed/>
    <w:qFormat/>
    <w:uiPriority w:val="1"/>
  </w:style>
  <w:style w:type="table" w:default="1" w:styleId="12">
    <w:name w:val="Normal Table"/>
    <w:unhideWhenUsed/>
    <w:qFormat/>
    <w:uiPriority w:val="99"/>
    <w:tblPr>
      <w:tblCellMar>
        <w:top w:w="0" w:type="dxa"/>
        <w:left w:w="108" w:type="dxa"/>
        <w:bottom w:w="0" w:type="dxa"/>
        <w:right w:w="108" w:type="dxa"/>
      </w:tblCellMar>
    </w:tblPr>
  </w:style>
  <w:style w:type="paragraph" w:styleId="7">
    <w:name w:val="caption"/>
    <w:basedOn w:val="1"/>
    <w:next w:val="1"/>
    <w:qFormat/>
    <w:uiPriority w:val="0"/>
    <w:pPr>
      <w:suppressLineNumbers/>
      <w:spacing w:before="120" w:after="120"/>
    </w:pPr>
    <w:rPr>
      <w:i/>
      <w:iCs/>
      <w:sz w:val="24"/>
      <w:szCs w:val="24"/>
    </w:rPr>
  </w:style>
  <w:style w:type="paragraph" w:styleId="8">
    <w:name w:val="Body Text"/>
    <w:basedOn w:val="1"/>
    <w:qFormat/>
    <w:uiPriority w:val="1"/>
    <w:rPr>
      <w:sz w:val="32"/>
      <w:szCs w:val="32"/>
    </w:rPr>
  </w:style>
  <w:style w:type="paragraph" w:styleId="9">
    <w:name w:val="footer"/>
    <w:basedOn w:val="1"/>
    <w:qFormat/>
    <w:uiPriority w:val="0"/>
    <w:pPr>
      <w:tabs>
        <w:tab w:val="center" w:pos="4153"/>
        <w:tab w:val="right" w:pos="8306"/>
      </w:tabs>
      <w:snapToGrid w:val="0"/>
    </w:pPr>
    <w:rPr>
      <w:sz w:val="18"/>
      <w:szCs w:val="18"/>
    </w:rPr>
  </w:style>
  <w:style w:type="paragraph" w:styleId="10">
    <w:name w:val="header"/>
    <w:basedOn w:val="1"/>
    <w:qFormat/>
    <w:uiPriority w:val="0"/>
    <w:pPr>
      <w:pBdr>
        <w:bottom w:val="single" w:color="000000" w:sz="6" w:space="1"/>
      </w:pBdr>
      <w:tabs>
        <w:tab w:val="center" w:pos="4153"/>
        <w:tab w:val="right" w:pos="8306"/>
      </w:tabs>
      <w:snapToGrid w:val="0"/>
      <w:jc w:val="center"/>
    </w:pPr>
    <w:rPr>
      <w:sz w:val="18"/>
      <w:szCs w:val="18"/>
    </w:rPr>
  </w:style>
  <w:style w:type="paragraph" w:styleId="11">
    <w:name w:val="List"/>
    <w:basedOn w:val="8"/>
    <w:qFormat/>
    <w:uiPriority w:val="0"/>
  </w:style>
  <w:style w:type="table" w:styleId="13">
    <w:name w:val="Table Grid"/>
    <w:basedOn w:val="1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15">
    <w:name w:val="编号符号"/>
    <w:qFormat/>
    <w:uiPriority w:val="0"/>
  </w:style>
  <w:style w:type="character" w:customStyle="1" w:styleId="16">
    <w:name w:val="页眉 字符"/>
    <w:basedOn w:val="14"/>
    <w:qFormat/>
    <w:uiPriority w:val="0"/>
    <w:rPr>
      <w:rFonts w:ascii="Arial Unicode MS" w:hAnsi="Arial Unicode MS" w:eastAsia="Arial Unicode MS" w:cs="Arial Unicode MS"/>
      <w:sz w:val="18"/>
      <w:szCs w:val="18"/>
      <w:lang w:val="zh-CN" w:bidi="zh-CN"/>
    </w:rPr>
  </w:style>
  <w:style w:type="character" w:customStyle="1" w:styleId="17">
    <w:name w:val="页脚 字符"/>
    <w:basedOn w:val="14"/>
    <w:qFormat/>
    <w:uiPriority w:val="0"/>
    <w:rPr>
      <w:rFonts w:ascii="Arial Unicode MS" w:hAnsi="Arial Unicode MS" w:eastAsia="Arial Unicode MS" w:cs="Arial Unicode MS"/>
      <w:sz w:val="18"/>
      <w:szCs w:val="18"/>
      <w:lang w:val="zh-CN" w:bidi="zh-CN"/>
    </w:rPr>
  </w:style>
  <w:style w:type="paragraph" w:customStyle="1" w:styleId="18">
    <w:name w:val="标题样式"/>
    <w:basedOn w:val="1"/>
    <w:next w:val="8"/>
    <w:qFormat/>
    <w:uiPriority w:val="0"/>
    <w:pPr>
      <w:keepNext/>
      <w:spacing w:before="240" w:after="120"/>
    </w:pPr>
    <w:rPr>
      <w:rFonts w:ascii="Liberation Sans" w:hAnsi="Liberation Sans"/>
      <w:sz w:val="28"/>
      <w:szCs w:val="28"/>
    </w:rPr>
  </w:style>
  <w:style w:type="paragraph" w:customStyle="1" w:styleId="19">
    <w:name w:val="索引"/>
    <w:basedOn w:val="1"/>
    <w:qFormat/>
    <w:uiPriority w:val="0"/>
    <w:pPr>
      <w:suppressLineNumbers/>
    </w:pPr>
  </w:style>
  <w:style w:type="paragraph" w:customStyle="1" w:styleId="20">
    <w:name w:val="页眉与页脚"/>
    <w:basedOn w:val="1"/>
    <w:qFormat/>
    <w:uiPriority w:val="0"/>
  </w:style>
  <w:style w:type="paragraph" w:customStyle="1" w:styleId="21">
    <w:name w:val="List Paragraph"/>
    <w:basedOn w:val="1"/>
    <w:qFormat/>
    <w:uiPriority w:val="1"/>
    <w:pPr>
      <w:ind w:left="2039" w:hanging="782"/>
    </w:pPr>
  </w:style>
  <w:style w:type="paragraph" w:customStyle="1" w:styleId="22">
    <w:name w:val="Table Paragraph"/>
    <w:basedOn w:val="1"/>
    <w:qFormat/>
    <w:uiPriority w:val="1"/>
    <w:rPr>
      <w:rFonts w:ascii="宋体" w:hAnsi="宋体" w:eastAsia="宋体" w:cs="宋体"/>
    </w:rPr>
  </w:style>
  <w:style w:type="paragraph" w:customStyle="1" w:styleId="23">
    <w:name w:val="表格内容"/>
    <w:basedOn w:val="1"/>
    <w:qFormat/>
    <w:uiPriority w:val="0"/>
    <w:pPr>
      <w:suppressLineNumbers/>
    </w:pPr>
  </w:style>
  <w:style w:type="paragraph" w:customStyle="1" w:styleId="24">
    <w:name w:val="表格标题"/>
    <w:basedOn w:val="23"/>
    <w:qFormat/>
    <w:uiPriority w:val="0"/>
    <w:pPr>
      <w:jc w:val="center"/>
    </w:pPr>
    <w:rPr>
      <w:b/>
      <w:bCs/>
    </w:rPr>
  </w:style>
  <w:style w:type="paragraph" w:customStyle="1" w:styleId="25">
    <w:name w:val="预格式化的文本"/>
    <w:basedOn w:val="1"/>
    <w:qFormat/>
    <w:uiPriority w:val="0"/>
    <w:rPr>
      <w:rFonts w:ascii="Liberation Mono" w:hAnsi="Liberation Mono" w:eastAsia="新宋体" w:cs="Liberation Mono"/>
      <w:sz w:val="20"/>
      <w:szCs w:val="20"/>
    </w:rPr>
  </w:style>
  <w:style w:type="table" w:customStyle="1" w:styleId="26">
    <w:name w:val="Table Normal"/>
    <w:unhideWhenUsed/>
    <w:qFormat/>
    <w:uiPriority w:val="2"/>
    <w:tblPr>
      <w:tblCellMar>
        <w:top w:w="0" w:type="dxa"/>
        <w:left w:w="0" w:type="dxa"/>
        <w:bottom w:w="0" w:type="dxa"/>
        <w:right w:w="0"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footer5.xml" Type="http://schemas.openxmlformats.org/officeDocument/2006/relationships/footer"/><Relationship Id="rId11" Target="footer6.xml" Type="http://schemas.openxmlformats.org/officeDocument/2006/relationships/footer"/><Relationship Id="rId12" Target="footer7.xml" Type="http://schemas.openxmlformats.org/officeDocument/2006/relationships/footer"/><Relationship Id="rId13" Target="footer8.xml" Type="http://schemas.openxmlformats.org/officeDocument/2006/relationships/footer"/><Relationship Id="rId14" Target="footer9.xml" Type="http://schemas.openxmlformats.org/officeDocument/2006/relationships/footer"/><Relationship Id="rId15" Target="footer10.xml" Type="http://schemas.openxmlformats.org/officeDocument/2006/relationships/footer"/><Relationship Id="rId16" Target="footer11.xml" Type="http://schemas.openxmlformats.org/officeDocument/2006/relationships/footer"/><Relationship Id="rId17" Target="footer12.xml" Type="http://schemas.openxmlformats.org/officeDocument/2006/relationships/footer"/><Relationship Id="rId18" Target="footer13.xml" Type="http://schemas.openxmlformats.org/officeDocument/2006/relationships/footer"/><Relationship Id="rId19" Target="footer14.xml" Type="http://schemas.openxmlformats.org/officeDocument/2006/relationships/footer"/><Relationship Id="rId2" Target="settings.xml" Type="http://schemas.openxmlformats.org/officeDocument/2006/relationships/settings"/><Relationship Id="rId20" Target="footer15.xml" Type="http://schemas.openxmlformats.org/officeDocument/2006/relationships/footer"/><Relationship Id="rId21" Target="theme/theme1.xml" Type="http://schemas.openxmlformats.org/officeDocument/2006/relationships/theme"/><Relationship Id="rId22" Target="../customXml/item1.xml" Type="http://schemas.openxmlformats.org/officeDocument/2006/relationships/customXml"/><Relationship Id="rId23" Target="fontTable.xml" Type="http://schemas.openxmlformats.org/officeDocument/2006/relationships/fontTable"/><Relationship Id="rId24" Target="media/image1.jpeg" Type="http://schemas.openxmlformats.org/officeDocument/2006/relationships/image"/><Relationship Id="rId25" Target="media/image2.jpeg" Type="http://schemas.openxmlformats.org/officeDocument/2006/relationships/image"/><Relationship Id="rId3" Target="footnotes.xml" Type="http://schemas.openxmlformats.org/officeDocument/2006/relationships/footnotes"/><Relationship Id="rId4" Target="header1.xml" Type="http://schemas.openxmlformats.org/officeDocument/2006/relationships/header"/><Relationship Id="rId5" Target="header2.xml" Type="http://schemas.openxmlformats.org/officeDocument/2006/relationships/header"/><Relationship Id="rId6" Target="footer1.xml" Type="http://schemas.openxmlformats.org/officeDocument/2006/relationships/footer"/><Relationship Id="rId7" Target="footer2.xml" Type="http://schemas.openxmlformats.org/officeDocument/2006/relationships/footer"/><Relationship Id="rId8" Target="footer3.xml" Type="http://schemas.openxmlformats.org/officeDocument/2006/relationships/footer"/><Relationship Id="rId9" Target="footer4.xml" Type="http://schemas.openxmlformats.org/officeDocument/2006/relationships/footer"/></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4097" textRotate="1"/>
    <customShpInfo spid="_x0000_s4113" textRotate="1"/>
    <customShpInfo spid="_x0000_s4111" textRotate="1"/>
    <customShpInfo spid="_x0000_s4112" textRotate="1"/>
    <customShpInfo spid="_x0000_s4099" textRotate="1"/>
    <customShpInfo spid="_x0000_s4100" textRotate="1"/>
    <customShpInfo spid="_x0000_s4101" textRotate="1"/>
    <customShpInfo spid="_x0000_s4102" textRotate="1"/>
    <customShpInfo spid="_x0000_s4103" textRotate="1"/>
    <customShpInfo spid="_x0000_s4104" textRotate="1"/>
    <customShpInfo spid="_x0000_s4105" textRotate="1"/>
    <customShpInfo spid="_x0000_s4106" textRotate="1"/>
    <customShpInfo spid="_x0000_s4107" textRotate="1"/>
    <customShpInfo spid="_x0000_s4108" textRotate="1"/>
    <customShpInfo spid="_x0000_s4110"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20</Pages>
  <Words>1913</Words>
  <Characters>6439</Characters>
  <Paragraphs>501</Paragraphs>
  <TotalTime>2</TotalTime>
  <ScaleCrop>false</ScaleCrop>
  <LinksUpToDate>false</LinksUpToDate>
  <CharactersWithSpaces>6456</CharactersWithSpaces>
  <Application>WPS Office_12.1.0.15066_F1E327BC-269C-435d-A152-05C5408002CA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2021-04-16T03:22:00Z</dcterms:created>
  <dc:creator>陈长军(本处室套红)</dc:creator>
  <cp:lastModifiedBy>Tree Know</cp:lastModifiedBy>
  <dcterms:modified xsi:type="dcterms:W3CDTF">2024-01-15T14:22:54Z</dcterms:modified>
  <cp:revision>175</cp:revision>
  <dc:title>部门预算公开</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2021-02-03T00:00:00Z</vt:filetime>
  </property>
  <property fmtid="{D5CDD505-2E9C-101B-9397-08002B2CF9AE}" pid="3" name="Creator">
    <vt:lpwstr>ÿþ¹eckýVEŒ⁄ech Y thV </vt:lpwstr>
  </property>
  <property fmtid="{D5CDD505-2E9C-101B-9397-08002B2CF9AE}" pid="4" name="ICV">
    <vt:lpwstr>C823B2FE72FE4DF285E985223D1A425B</vt:lpwstr>
  </property>
  <property fmtid="{D5CDD505-2E9C-101B-9397-08002B2CF9AE}" pid="5" name="KSOProductBuildVer">
    <vt:lpwstr>2052-12.1.0.15066</vt:lpwstr>
  </property>
  <property fmtid="{D5CDD505-2E9C-101B-9397-08002B2CF9AE}" pid="6" name="LastSaved">
    <vt:filetime>2021-04-15T00:00:00Z</vt:filetime>
  </property>
</Properties>
</file>